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 xml:space="preserve">受审核部门： </w:t>
            </w:r>
            <w:r>
              <w:rPr>
                <w:rFonts w:hint="eastAsia" w:ascii="楷体" w:hAnsi="楷体" w:eastAsia="楷体"/>
                <w:lang w:eastAsia="zh-CN"/>
              </w:rPr>
              <w:t>人事部</w:t>
            </w:r>
            <w:r>
              <w:rPr>
                <w:rFonts w:hint="eastAsia" w:ascii="楷体" w:hAnsi="楷体" w:eastAsia="楷体"/>
              </w:rPr>
              <w:t xml:space="preserve">        主管领导：刘红    陪同人员：</w:t>
            </w:r>
            <w:bookmarkStart w:id="0" w:name="联系人"/>
            <w:r>
              <w:rPr>
                <w:rFonts w:hint="eastAsia" w:ascii="楷体" w:hAnsi="楷体" w:eastAsia="楷体"/>
              </w:rPr>
              <w:t>应通云</w:t>
            </w:r>
            <w:bookmarkEnd w:id="0"/>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2022.</w:t>
            </w:r>
            <w:r>
              <w:rPr>
                <w:rFonts w:hint="eastAsia" w:cs="Times New Roman"/>
                <w:b/>
                <w:kern w:val="2"/>
                <w:sz w:val="21"/>
                <w:szCs w:val="21"/>
                <w:lang w:val="en-US" w:eastAsia="zh-CN" w:bidi="ar-SA"/>
              </w:rPr>
              <w:t>10</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07</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pacing w:line="300" w:lineRule="exact"/>
              <w:rPr>
                <w:rFonts w:hint="eastAsia" w:ascii="宋体" w:hAnsi="宋体" w:cs="新宋体"/>
                <w:sz w:val="18"/>
                <w:szCs w:val="18"/>
              </w:rPr>
            </w:pPr>
            <w:r>
              <w:rPr>
                <w:rFonts w:hint="eastAsia" w:ascii="楷体" w:hAnsi="楷体" w:eastAsia="楷体"/>
              </w:rPr>
              <w:t>审核条款：</w:t>
            </w: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w:t>
            </w:r>
            <w:r>
              <w:rPr>
                <w:rFonts w:hint="eastAsia" w:ascii="宋体" w:hAnsi="宋体" w:cs="新宋体"/>
                <w:sz w:val="18"/>
                <w:szCs w:val="18"/>
                <w:lang w:val="en-US" w:eastAsia="zh-CN"/>
              </w:rPr>
              <w:t>9.1.3分析与评价；</w:t>
            </w:r>
            <w:r>
              <w:rPr>
                <w:rFonts w:hint="eastAsia" w:ascii="宋体" w:hAnsi="宋体" w:cs="新宋体"/>
                <w:sz w:val="18"/>
                <w:szCs w:val="18"/>
              </w:rPr>
              <w:t>9.2内部审核；10.2纠正措施；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rPr>
                <w:rFonts w:ascii="楷体" w:hAnsi="楷体" w:eastAsia="楷体"/>
              </w:rPr>
            </w:pPr>
            <w:r>
              <w:rPr>
                <w:rFonts w:hint="eastAsia" w:ascii="宋体" w:hAnsi="宋体" w:cs="新宋体"/>
                <w:sz w:val="18"/>
                <w:szCs w:val="18"/>
              </w:rPr>
              <w:t>5.3组织的角色、职责和权限；5.4员工参与和协商；6.1.3法律法规要求和其他要求；6.1.2危险源辨识和职业安全风险评价； 6.2目标及其实现的策划；8.1运行策划和控制；8.2应急准备和响应； 9.1.2法律法规要求和其他要求的合规性评价；9.2内部审核</w:t>
            </w:r>
            <w:r>
              <w:rPr>
                <w:rFonts w:hint="eastAsia" w:ascii="宋体" w:hAnsi="宋体" w:cs="新宋体"/>
                <w:sz w:val="18"/>
                <w:szCs w:val="18"/>
                <w:lang w:eastAsia="zh-CN"/>
              </w:rPr>
              <w:t>；</w:t>
            </w:r>
            <w:r>
              <w:rPr>
                <w:rFonts w:hint="eastAsia" w:ascii="宋体" w:hAnsi="宋体" w:cs="新宋体"/>
                <w:sz w:val="18"/>
                <w:szCs w:val="18"/>
              </w:rPr>
              <w:t>10.2纠正措施；</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人事部</w:t>
            </w:r>
            <w:r>
              <w:rPr>
                <w:rFonts w:ascii="楷体" w:hAnsi="楷体" w:eastAsia="楷体"/>
              </w:rPr>
              <w:t>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人事部</w:t>
            </w:r>
            <w:r>
              <w:rPr>
                <w:rFonts w:hint="eastAsia" w:ascii="楷体" w:hAnsi="楷体" w:eastAsia="楷体"/>
              </w:rPr>
              <w:t>部长：</w:t>
            </w:r>
            <w:r>
              <w:rPr>
                <w:rFonts w:hint="eastAsia" w:ascii="楷体" w:hAnsi="楷体" w:eastAsia="楷体"/>
                <w:lang w:eastAsia="zh-CN"/>
              </w:rPr>
              <w:t>刘红</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人事部</w:t>
            </w:r>
            <w:r>
              <w:rPr>
                <w:rFonts w:hint="eastAsia" w:ascii="楷体" w:hAnsi="楷体" w:eastAsia="楷体"/>
              </w:rPr>
              <w:t>的主要职责有：</w:t>
            </w:r>
          </w:p>
          <w:p>
            <w:pPr>
              <w:rPr>
                <w:rFonts w:hint="eastAsia" w:ascii="楷体" w:hAnsi="楷体" w:eastAsia="楷体"/>
              </w:rPr>
            </w:pPr>
            <w:r>
              <w:rPr>
                <w:rFonts w:hint="eastAsia" w:ascii="楷体" w:hAnsi="楷体" w:eastAsia="楷体"/>
              </w:rPr>
              <w:t>职责和权限：1、负责公司人员培训意识和能力的归口管理与控制；</w:t>
            </w:r>
          </w:p>
          <w:p>
            <w:pPr>
              <w:rPr>
                <w:rFonts w:hint="eastAsia" w:ascii="楷体" w:hAnsi="楷体" w:eastAsia="楷体"/>
              </w:rPr>
            </w:pPr>
            <w:r>
              <w:rPr>
                <w:rFonts w:hint="eastAsia" w:ascii="楷体" w:hAnsi="楷体" w:eastAsia="楷体"/>
              </w:rPr>
              <w:t>2、负责职工人事档案与印章管理；协助领导做好各类会议的会务工作和落实会议作出的各项决定，负责会议记录；</w:t>
            </w:r>
          </w:p>
          <w:p>
            <w:pPr>
              <w:rPr>
                <w:rFonts w:hint="eastAsia" w:ascii="楷体" w:hAnsi="楷体" w:eastAsia="楷体"/>
              </w:rPr>
            </w:pPr>
            <w:r>
              <w:rPr>
                <w:rFonts w:hint="eastAsia" w:ascii="楷体" w:hAnsi="楷体" w:eastAsia="楷体"/>
              </w:rPr>
              <w:t xml:space="preserve">3、 协助和处理公司日常行政事务工作；负责重要来信来访的处理及信息沟通和协商等；负责制定本单位职工培训年度计划，并组织实施；  </w:t>
            </w:r>
          </w:p>
          <w:p>
            <w:pPr>
              <w:rPr>
                <w:rFonts w:hint="eastAsia" w:ascii="楷体" w:hAnsi="楷体" w:eastAsia="楷体"/>
              </w:rPr>
            </w:pPr>
            <w:r>
              <w:rPr>
                <w:rFonts w:hint="eastAsia" w:ascii="楷体" w:hAnsi="楷体" w:eastAsia="楷体"/>
              </w:rPr>
              <w:t>4、贯彻实施公司的质量、环境和职业健康安全及企业管理方针、目标、指标和管理方案；</w:t>
            </w:r>
          </w:p>
          <w:p>
            <w:pPr>
              <w:rPr>
                <w:rFonts w:hint="eastAsia" w:ascii="楷体" w:hAnsi="楷体" w:eastAsia="楷体"/>
              </w:rPr>
            </w:pPr>
            <w:r>
              <w:rPr>
                <w:rFonts w:hint="eastAsia" w:ascii="楷体" w:hAnsi="楷体" w:eastAsia="楷体"/>
              </w:rPr>
              <w:t>5、对本部门环境因素、危险源进行辨识和评价，制订控制措施；</w:t>
            </w:r>
          </w:p>
          <w:p>
            <w:pPr>
              <w:rPr>
                <w:rFonts w:hint="eastAsia" w:ascii="楷体" w:hAnsi="楷体" w:eastAsia="楷体"/>
              </w:rPr>
            </w:pPr>
            <w:r>
              <w:rPr>
                <w:rFonts w:hint="eastAsia" w:ascii="楷体" w:hAnsi="楷体" w:eastAsia="楷体"/>
              </w:rPr>
              <w:t>6、参与公司组织的应急演练；</w:t>
            </w:r>
          </w:p>
          <w:p>
            <w:pPr>
              <w:rPr>
                <w:rFonts w:ascii="楷体" w:hAnsi="楷体" w:eastAsia="楷体"/>
                <w:szCs w:val="21"/>
              </w:rPr>
            </w:pPr>
            <w:r>
              <w:rPr>
                <w:rFonts w:hint="eastAsia" w:ascii="楷体" w:hAnsi="楷体" w:eastAsia="楷体"/>
              </w:rPr>
              <w:t>7、对工作场所进行风险控制，保护环境</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刘红</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组织根据手册第6.1.2条款、《环境因素识别与评价控制程序》要求，由人事部负责指导各部门环境因素的调查、评价、汇总、登记、审定及更新，各部门负责组织实施，人事部负责汇总整理。</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查看组织《环境因素登记与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组织按照《环境因素识别与评价控制程序》准则确定了重要环境因素，抽查组织《重要环境因素清单》内容如下：</w:t>
            </w:r>
          </w:p>
          <w:tbl>
            <w:tblPr>
              <w:tblStyle w:val="9"/>
              <w:tblW w:w="1027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454"/>
              <w:gridCol w:w="3589"/>
              <w:gridCol w:w="1578"/>
              <w:gridCol w:w="127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3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序号</w:t>
                  </w:r>
                </w:p>
              </w:tc>
              <w:tc>
                <w:tcPr>
                  <w:tcW w:w="145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环境因素</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活动点/工序或部位</w:t>
                  </w:r>
                </w:p>
              </w:tc>
              <w:tc>
                <w:tcPr>
                  <w:tcW w:w="15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环境影响</w:t>
                  </w:r>
                </w:p>
              </w:tc>
              <w:tc>
                <w:tcPr>
                  <w:tcW w:w="12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时态/状态</w:t>
                  </w:r>
                </w:p>
              </w:tc>
              <w:tc>
                <w:tcPr>
                  <w:tcW w:w="19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434"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1454"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噪声的排放</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车间生产设备发出的噪声</w:t>
                  </w:r>
                </w:p>
              </w:tc>
              <w:tc>
                <w:tcPr>
                  <w:tcW w:w="1578"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影响人体健康、社区居民休息</w:t>
                  </w:r>
                </w:p>
              </w:tc>
              <w:tc>
                <w:tcPr>
                  <w:tcW w:w="1278"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现在/正常</w:t>
                  </w:r>
                </w:p>
              </w:tc>
              <w:tc>
                <w:tcPr>
                  <w:tcW w:w="1944" w:type="dxa"/>
                  <w:vMerge w:val="restart"/>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434"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1454"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场内的运输车、工具车等车辆运输作业时的噪声</w:t>
                  </w:r>
                </w:p>
              </w:tc>
              <w:tc>
                <w:tcPr>
                  <w:tcW w:w="1578"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1278"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c>
                <w:tcPr>
                  <w:tcW w:w="1944" w:type="dxa"/>
                  <w:vMerge w:val="continue"/>
                  <w:tcBorders>
                    <w:bottom w:val="single" w:color="auto" w:sz="4" w:space="0"/>
                  </w:tcBorders>
                  <w:vAlign w:val="center"/>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43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145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废水的排放</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车间清洗和生活污水的排放、水抛废水的排放</w:t>
                  </w:r>
                </w:p>
              </w:tc>
              <w:tc>
                <w:tcPr>
                  <w:tcW w:w="15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水体污染</w:t>
                  </w:r>
                </w:p>
              </w:tc>
              <w:tc>
                <w:tcPr>
                  <w:tcW w:w="12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现在/正常</w:t>
                  </w:r>
                </w:p>
              </w:tc>
              <w:tc>
                <w:tcPr>
                  <w:tcW w:w="19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3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w:t>
                  </w:r>
                </w:p>
              </w:tc>
              <w:tc>
                <w:tcPr>
                  <w:tcW w:w="145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资源的消耗</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生产用电、水等的消耗，天然气、压缩空气消耗</w:t>
                  </w:r>
                </w:p>
              </w:tc>
              <w:tc>
                <w:tcPr>
                  <w:tcW w:w="1578" w:type="dxa"/>
                  <w:vMerge w:val="restart"/>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资源消耗</w:t>
                  </w:r>
                </w:p>
              </w:tc>
              <w:tc>
                <w:tcPr>
                  <w:tcW w:w="1278" w:type="dxa"/>
                  <w:vMerge w:val="restart"/>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现在/正常</w:t>
                  </w:r>
                </w:p>
              </w:tc>
              <w:tc>
                <w:tcPr>
                  <w:tcW w:w="1944" w:type="dxa"/>
                  <w:vMerge w:val="restart"/>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办公用电的消耗，水等的消耗</w:t>
                  </w:r>
                </w:p>
              </w:tc>
              <w:tc>
                <w:tcPr>
                  <w:tcW w:w="1578" w:type="dxa"/>
                  <w:vMerge w:val="continue"/>
                </w:tcPr>
                <w:p>
                  <w:pPr>
                    <w:rPr>
                      <w:rFonts w:hint="eastAsia" w:ascii="楷体" w:hAnsi="楷体" w:eastAsia="楷体" w:cs="Times New Roman"/>
                      <w:color w:val="auto"/>
                      <w:lang w:val="en-US" w:eastAsia="zh-CN"/>
                    </w:rPr>
                  </w:pPr>
                </w:p>
              </w:tc>
              <w:tc>
                <w:tcPr>
                  <w:tcW w:w="1278" w:type="dxa"/>
                  <w:vMerge w:val="continue"/>
                </w:tcPr>
                <w:p>
                  <w:pPr>
                    <w:rPr>
                      <w:rFonts w:hint="eastAsia" w:ascii="楷体" w:hAnsi="楷体" w:eastAsia="楷体" w:cs="Times New Roman"/>
                      <w:color w:val="auto"/>
                      <w:lang w:val="en-US" w:eastAsia="zh-CN"/>
                    </w:rPr>
                  </w:pPr>
                </w:p>
              </w:tc>
              <w:tc>
                <w:tcPr>
                  <w:tcW w:w="1944" w:type="dxa"/>
                  <w:vMerge w:val="continue"/>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3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w:t>
                  </w:r>
                </w:p>
              </w:tc>
              <w:tc>
                <w:tcPr>
                  <w:tcW w:w="145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潜在火灾事故的发生</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办公室的易燃物品管理不慎，吸烟等明火引发的火灾</w:t>
                  </w:r>
                </w:p>
              </w:tc>
              <w:tc>
                <w:tcPr>
                  <w:tcW w:w="15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大气、水体等综合性污染</w:t>
                  </w:r>
                </w:p>
              </w:tc>
              <w:tc>
                <w:tcPr>
                  <w:tcW w:w="12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将来/紧急</w:t>
                  </w:r>
                </w:p>
              </w:tc>
              <w:tc>
                <w:tcPr>
                  <w:tcW w:w="194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车间和仓库包装材料等易燃品管理不慎引发的火灾</w:t>
                  </w:r>
                </w:p>
              </w:tc>
              <w:tc>
                <w:tcPr>
                  <w:tcW w:w="1578" w:type="dxa"/>
                  <w:vMerge w:val="continue"/>
                </w:tcPr>
                <w:p>
                  <w:pPr>
                    <w:rPr>
                      <w:rFonts w:hint="eastAsia" w:ascii="楷体" w:hAnsi="楷体" w:eastAsia="楷体" w:cs="Times New Roman"/>
                      <w:color w:val="auto"/>
                      <w:lang w:val="en-US" w:eastAsia="zh-CN"/>
                    </w:rPr>
                  </w:pPr>
                </w:p>
              </w:tc>
              <w:tc>
                <w:tcPr>
                  <w:tcW w:w="1278" w:type="dxa"/>
                  <w:vMerge w:val="continue"/>
                </w:tcPr>
                <w:p>
                  <w:pPr>
                    <w:rPr>
                      <w:rFonts w:hint="eastAsia" w:ascii="楷体" w:hAnsi="楷体" w:eastAsia="楷体" w:cs="Times New Roman"/>
                      <w:color w:val="auto"/>
                      <w:lang w:val="en-US" w:eastAsia="zh-CN"/>
                    </w:rPr>
                  </w:pPr>
                </w:p>
              </w:tc>
              <w:tc>
                <w:tcPr>
                  <w:tcW w:w="1944" w:type="dxa"/>
                  <w:vMerge w:val="continue"/>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tcBorders>
                    <w:bottom w:val="single" w:color="auto" w:sz="4" w:space="0"/>
                  </w:tcBorders>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电器短路火灾的发生</w:t>
                  </w:r>
                </w:p>
              </w:tc>
              <w:tc>
                <w:tcPr>
                  <w:tcW w:w="1578" w:type="dxa"/>
                  <w:vMerge w:val="continue"/>
                </w:tcPr>
                <w:p>
                  <w:pPr>
                    <w:rPr>
                      <w:rFonts w:hint="eastAsia" w:ascii="楷体" w:hAnsi="楷体" w:eastAsia="楷体" w:cs="Times New Roman"/>
                      <w:color w:val="auto"/>
                      <w:lang w:val="en-US" w:eastAsia="zh-CN"/>
                    </w:rPr>
                  </w:pPr>
                </w:p>
              </w:tc>
              <w:tc>
                <w:tcPr>
                  <w:tcW w:w="1278" w:type="dxa"/>
                  <w:vMerge w:val="continue"/>
                </w:tcPr>
                <w:p>
                  <w:pPr>
                    <w:rPr>
                      <w:rFonts w:hint="eastAsia" w:ascii="楷体" w:hAnsi="楷体" w:eastAsia="楷体" w:cs="Times New Roman"/>
                      <w:color w:val="auto"/>
                      <w:lang w:val="en-US" w:eastAsia="zh-CN"/>
                    </w:rPr>
                  </w:pPr>
                </w:p>
              </w:tc>
              <w:tc>
                <w:tcPr>
                  <w:tcW w:w="1944" w:type="dxa"/>
                  <w:vMerge w:val="continue"/>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3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5</w:t>
                  </w:r>
                </w:p>
              </w:tc>
              <w:tc>
                <w:tcPr>
                  <w:tcW w:w="145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危废弃物的</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排放</w:t>
                  </w: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设备维修后含油棉纱布、含油配件的处置</w:t>
                  </w:r>
                </w:p>
              </w:tc>
              <w:tc>
                <w:tcPr>
                  <w:tcW w:w="15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危险废弃物的综合性污染</w:t>
                  </w:r>
                </w:p>
              </w:tc>
              <w:tc>
                <w:tcPr>
                  <w:tcW w:w="1278"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将来/正常</w:t>
                  </w:r>
                </w:p>
              </w:tc>
              <w:tc>
                <w:tcPr>
                  <w:tcW w:w="1944" w:type="dxa"/>
                  <w:vMerge w:val="restart"/>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危废：废乳化液、废矿物油的排放</w:t>
                  </w:r>
                </w:p>
              </w:tc>
              <w:tc>
                <w:tcPr>
                  <w:tcW w:w="1578" w:type="dxa"/>
                  <w:vMerge w:val="continue"/>
                  <w:vAlign w:val="center"/>
                </w:tcPr>
                <w:p>
                  <w:pPr>
                    <w:rPr>
                      <w:rFonts w:cs="黑体" w:asciiTheme="minorEastAsia" w:hAnsiTheme="minorEastAsia" w:eastAsiaTheme="minorEastAsia"/>
                      <w:szCs w:val="21"/>
                    </w:rPr>
                  </w:pPr>
                </w:p>
              </w:tc>
              <w:tc>
                <w:tcPr>
                  <w:tcW w:w="1278" w:type="dxa"/>
                  <w:vMerge w:val="continue"/>
                  <w:vAlign w:val="center"/>
                </w:tcPr>
                <w:p>
                  <w:pPr>
                    <w:rPr>
                      <w:rFonts w:cs="黑体" w:asciiTheme="minorEastAsia" w:hAnsiTheme="minorEastAsia" w:eastAsiaTheme="minorEastAsia"/>
                      <w:szCs w:val="21"/>
                    </w:rPr>
                  </w:pPr>
                </w:p>
              </w:tc>
              <w:tc>
                <w:tcPr>
                  <w:tcW w:w="1944" w:type="dxa"/>
                  <w:vMerge w:val="continue"/>
                  <w:vAlign w:val="center"/>
                </w:tcPr>
                <w:p>
                  <w:pPr>
                    <w:rPr>
                      <w:rFonts w:cs="黑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办公危废：（废电池、废灯管、废硒鼓墨盒）</w:t>
                  </w:r>
                </w:p>
              </w:tc>
              <w:tc>
                <w:tcPr>
                  <w:tcW w:w="1578" w:type="dxa"/>
                  <w:vMerge w:val="continue"/>
                  <w:vAlign w:val="center"/>
                </w:tcPr>
                <w:p>
                  <w:pPr>
                    <w:rPr>
                      <w:rFonts w:cs="黑体" w:asciiTheme="minorEastAsia" w:hAnsiTheme="minorEastAsia" w:eastAsiaTheme="minorEastAsia"/>
                      <w:szCs w:val="21"/>
                    </w:rPr>
                  </w:pPr>
                </w:p>
              </w:tc>
              <w:tc>
                <w:tcPr>
                  <w:tcW w:w="1278" w:type="dxa"/>
                  <w:vMerge w:val="continue"/>
                  <w:vAlign w:val="center"/>
                </w:tcPr>
                <w:p>
                  <w:pPr>
                    <w:rPr>
                      <w:rFonts w:cs="黑体" w:asciiTheme="minorEastAsia" w:hAnsiTheme="minorEastAsia" w:eastAsiaTheme="minorEastAsia"/>
                      <w:szCs w:val="21"/>
                    </w:rPr>
                  </w:pPr>
                </w:p>
              </w:tc>
              <w:tc>
                <w:tcPr>
                  <w:tcW w:w="1944" w:type="dxa"/>
                  <w:vMerge w:val="continue"/>
                  <w:vAlign w:val="center"/>
                </w:tcPr>
                <w:p>
                  <w:pPr>
                    <w:rPr>
                      <w:rFonts w:cs="黑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34" w:type="dxa"/>
                  <w:vMerge w:val="continue"/>
                  <w:vAlign w:val="center"/>
                </w:tcPr>
                <w:p>
                  <w:pPr>
                    <w:rPr>
                      <w:rFonts w:hint="eastAsia" w:ascii="楷体" w:hAnsi="楷体" w:eastAsia="楷体" w:cs="Times New Roman"/>
                      <w:color w:val="auto"/>
                      <w:lang w:val="en-US" w:eastAsia="zh-CN"/>
                    </w:rPr>
                  </w:pPr>
                </w:p>
              </w:tc>
              <w:tc>
                <w:tcPr>
                  <w:tcW w:w="1454" w:type="dxa"/>
                  <w:vMerge w:val="continue"/>
                  <w:vAlign w:val="center"/>
                </w:tcPr>
                <w:p>
                  <w:pPr>
                    <w:rPr>
                      <w:rFonts w:hint="eastAsia" w:ascii="楷体" w:hAnsi="楷体" w:eastAsia="楷体" w:cs="Times New Roman"/>
                      <w:color w:val="auto"/>
                      <w:lang w:val="en-US" w:eastAsia="zh-CN"/>
                    </w:rPr>
                  </w:pPr>
                </w:p>
              </w:tc>
              <w:tc>
                <w:tcPr>
                  <w:tcW w:w="3589"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一般固废：废边角料、废水抛石子、生活垃圾</w:t>
                  </w:r>
                </w:p>
              </w:tc>
              <w:tc>
                <w:tcPr>
                  <w:tcW w:w="1578" w:type="dxa"/>
                  <w:vMerge w:val="continue"/>
                  <w:vAlign w:val="center"/>
                </w:tcPr>
                <w:p>
                  <w:pPr>
                    <w:rPr>
                      <w:rFonts w:cs="黑体" w:asciiTheme="minorEastAsia" w:hAnsiTheme="minorEastAsia" w:eastAsiaTheme="minorEastAsia"/>
                      <w:szCs w:val="21"/>
                    </w:rPr>
                  </w:pPr>
                </w:p>
              </w:tc>
              <w:tc>
                <w:tcPr>
                  <w:tcW w:w="1278" w:type="dxa"/>
                  <w:vMerge w:val="continue"/>
                  <w:vAlign w:val="center"/>
                </w:tcPr>
                <w:p>
                  <w:pPr>
                    <w:rPr>
                      <w:rFonts w:cs="黑体" w:asciiTheme="minorEastAsia" w:hAnsiTheme="minorEastAsia" w:eastAsiaTheme="minorEastAsia"/>
                      <w:szCs w:val="21"/>
                    </w:rPr>
                  </w:pPr>
                </w:p>
              </w:tc>
              <w:tc>
                <w:tcPr>
                  <w:tcW w:w="1944" w:type="dxa"/>
                  <w:vMerge w:val="continue"/>
                  <w:vAlign w:val="center"/>
                </w:tcPr>
                <w:p>
                  <w:pPr>
                    <w:rPr>
                      <w:rFonts w:cs="黑体" w:asciiTheme="minorEastAsia" w:hAnsiTheme="minorEastAsia" w:eastAsiaTheme="minorEastAsia"/>
                      <w:szCs w:val="21"/>
                    </w:rPr>
                  </w:pPr>
                </w:p>
              </w:tc>
            </w:tr>
          </w:tbl>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组织根据手册6.1.2条款、《危险源辨识与风险评价控制措施管理程序》要求，由人事部负责编制《危险源辨识和风险评价登记表》，指导各职能部门（基层单位）开展危险、有害因素风险识别、评价，负责各职能部门（基层单位）风险评价记录的审查与控制效果有效性验证。组织有建立、更新《不可接受风险清单》。内容如下：</w:t>
            </w:r>
          </w:p>
          <w:tbl>
            <w:tblPr>
              <w:tblStyle w:val="9"/>
              <w:tblW w:w="1033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2570"/>
              <w:gridCol w:w="2144"/>
              <w:gridCol w:w="2000"/>
              <w:gridCol w:w="284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78" w:type="dxa"/>
                  <w:vAlign w:val="center"/>
                </w:tcPr>
                <w:p>
                  <w:pPr>
                    <w:jc w:val="center"/>
                    <w:rPr>
                      <w:rFonts w:cs="黑体" w:asciiTheme="minorEastAsia" w:hAnsiTheme="minorEastAsia" w:eastAsiaTheme="minorEastAsia"/>
                      <w:b/>
                      <w:spacing w:val="-20"/>
                      <w:szCs w:val="21"/>
                    </w:rPr>
                  </w:pPr>
                  <w:r>
                    <w:rPr>
                      <w:rFonts w:hint="eastAsia" w:cs="黑体" w:asciiTheme="minorEastAsia" w:hAnsiTheme="minorEastAsia" w:eastAsiaTheme="minorEastAsia"/>
                      <w:b/>
                      <w:spacing w:val="-20"/>
                      <w:szCs w:val="21"/>
                    </w:rPr>
                    <w:t>序号</w:t>
                  </w:r>
                </w:p>
              </w:tc>
              <w:tc>
                <w:tcPr>
                  <w:tcW w:w="2570"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活动点/工序/部位</w:t>
                  </w:r>
                </w:p>
              </w:tc>
              <w:tc>
                <w:tcPr>
                  <w:tcW w:w="2144"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潜在的危险因素</w:t>
                  </w:r>
                </w:p>
              </w:tc>
              <w:tc>
                <w:tcPr>
                  <w:tcW w:w="2000" w:type="dxa"/>
                  <w:vAlign w:val="center"/>
                </w:tcPr>
                <w:p>
                  <w:pPr>
                    <w:jc w:val="center"/>
                    <w:rPr>
                      <w:rFonts w:cs="黑体" w:asciiTheme="minorEastAsia" w:hAnsiTheme="minorEastAsia" w:eastAsiaTheme="minorEastAsia"/>
                      <w:b/>
                      <w:caps/>
                      <w:szCs w:val="21"/>
                    </w:rPr>
                  </w:pPr>
                  <w:r>
                    <w:rPr>
                      <w:rFonts w:hint="eastAsia" w:cs="黑体" w:asciiTheme="minorEastAsia" w:hAnsiTheme="minorEastAsia" w:eastAsiaTheme="minorEastAsia"/>
                      <w:b/>
                      <w:caps/>
                      <w:szCs w:val="21"/>
                    </w:rPr>
                    <w:t>可能导致的结果</w:t>
                  </w:r>
                </w:p>
              </w:tc>
              <w:tc>
                <w:tcPr>
                  <w:tcW w:w="2844"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2570"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办公场所、车间、仓库等区域的易燃品的堆放</w:t>
                  </w:r>
                </w:p>
              </w:tc>
              <w:tc>
                <w:tcPr>
                  <w:tcW w:w="2144"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出现明火引起的火灾</w:t>
                  </w:r>
                </w:p>
              </w:tc>
              <w:tc>
                <w:tcPr>
                  <w:tcW w:w="2000"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车间生产、物资装卸及运输等作业不当</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引起人员机械等碰撞</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人员的人身伤害</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压力容器设备</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设备老化或操作不当发生爆炸</w:t>
                  </w:r>
                </w:p>
              </w:tc>
              <w:tc>
                <w:tcPr>
                  <w:tcW w:w="2000"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生产和办公用电</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设备损坏，线路老化，电路设置不符合要求</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人员触电，火灾事故等</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规范操作，坚持线路检查，做好应急响应工作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5</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生产车间</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噪声伤害、机械设备操作不当造成机械伤害</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人员的人身伤害</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6</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职业健康安全</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职业病的发生</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传染病的传播</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职业健康安全</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1.规范操作，佩戴防护用具</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2.定期进行体检</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3.制定应急预案，全员进行安全知识培训，提高自我防护意识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7</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生产线员工、员工上下班、业务员出差</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高温中暑、交通意外</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做好防护和应急响应工作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8</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台风等自然灾害</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自然灾害紧急情况</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做好防护和应急响应工作</w:t>
                  </w:r>
                </w:p>
              </w:tc>
            </w:tr>
          </w:tbl>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职业健康安全风险与危险源辨识清单判定的内容一致，人事部负责人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jc w:val="left"/>
              <w:rPr>
                <w:rFonts w:hint="eastAsia" w:ascii="楷体" w:hAnsi="楷体" w:eastAsia="楷体" w:cs="Times New Roman"/>
                <w:color w:val="auto"/>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60"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楷体" w:hAnsi="楷体" w:eastAsia="楷体" w:cs="Times New Roman"/>
                <w:color w:val="auto"/>
                <w:lang w:val="en-US" w:eastAsia="zh-CN"/>
              </w:rPr>
            </w:pPr>
          </w:p>
        </w:tc>
        <w:tc>
          <w:tcPr>
            <w:tcW w:w="10596" w:type="dxa"/>
            <w:vAlign w:val="top"/>
          </w:tcPr>
          <w:p>
            <w:pPr>
              <w:spacing w:line="360" w:lineRule="auto"/>
              <w:rPr>
                <w:rFonts w:hint="eastAsia"/>
                <w:color w:val="auto"/>
                <w:lang w:val="en-US" w:eastAsia="zh-CN"/>
              </w:rPr>
            </w:pPr>
            <w:r>
              <w:rPr>
                <w:rFonts w:hint="eastAsia"/>
                <w:color w:val="auto"/>
              </w:rPr>
              <w:t>有</w:t>
            </w:r>
            <w:r>
              <w:rPr>
                <w:rFonts w:hint="eastAsia"/>
                <w:color w:val="auto"/>
                <w:lang w:eastAsia="zh-CN"/>
              </w:rPr>
              <w:t>《</w:t>
            </w:r>
            <w:r>
              <w:rPr>
                <w:rFonts w:hint="eastAsia"/>
                <w:color w:val="auto"/>
                <w:lang w:val="zh-CN" w:eastAsia="zh-CN"/>
              </w:rPr>
              <w:t>法律法规和其它要求控制程序</w:t>
            </w:r>
            <w:r>
              <w:rPr>
                <w:rFonts w:hint="eastAsia"/>
                <w:color w:val="auto"/>
                <w:lang w:eastAsia="zh-CN"/>
              </w:rPr>
              <w:t>》</w:t>
            </w:r>
            <w:r>
              <w:rPr>
                <w:rFonts w:hint="eastAsia"/>
                <w:color w:val="auto"/>
              </w:rPr>
              <w:t>、</w:t>
            </w:r>
            <w:r>
              <w:rPr>
                <w:rFonts w:hint="eastAsia"/>
                <w:color w:val="auto"/>
                <w:lang w:eastAsia="zh-CN"/>
              </w:rPr>
              <w:t>《</w:t>
            </w:r>
            <w:r>
              <w:rPr>
                <w:rFonts w:hint="eastAsia"/>
                <w:color w:val="auto"/>
                <w:lang w:val="zh-CN" w:eastAsia="zh-CN"/>
              </w:rPr>
              <w:t>合规性评价控制程序</w:t>
            </w:r>
            <w:r>
              <w:rPr>
                <w:rFonts w:hint="eastAsia"/>
                <w:color w:val="auto"/>
                <w:lang w:eastAsia="zh-CN"/>
              </w:rPr>
              <w:t>》</w:t>
            </w:r>
            <w:r>
              <w:rPr>
                <w:rFonts w:hint="eastAsia"/>
                <w:color w:val="auto"/>
                <w:lang w:val="en-US" w:eastAsia="zh-CN"/>
              </w:rPr>
              <w:t>等，</w:t>
            </w:r>
          </w:p>
          <w:p>
            <w:pPr>
              <w:spacing w:line="360" w:lineRule="auto"/>
              <w:rPr>
                <w:rFonts w:hint="eastAsia"/>
                <w:color w:val="auto"/>
              </w:rPr>
            </w:pPr>
            <w:r>
              <w:rPr>
                <w:rFonts w:hint="eastAsia"/>
                <w:color w:val="auto"/>
              </w:rPr>
              <w:t>提供公司适用的法律法规及要求清单，主要有质量法、</w:t>
            </w:r>
            <w:r>
              <w:rPr>
                <w:rFonts w:hint="eastAsia"/>
                <w:color w:val="auto"/>
                <w:lang w:val="en-US" w:eastAsia="zh-CN"/>
              </w:rPr>
              <w:t>安全生产法</w:t>
            </w:r>
            <w:r>
              <w:rPr>
                <w:rFonts w:hint="eastAsia"/>
                <w:color w:val="auto"/>
              </w:rPr>
              <w:t>、环境保护法、环境噪声污染防治法、劳动法、消防法、环境空气质量标准、固体废弃物环境防治法、仓库防火安全管理规则、劳动保护用品管理规定、《工业企业厂界环境噪声排放标准》、《环境空气质量标准》、《工作场所有害因素职业接触限值》、《质量管理体系 要求》、《环境管理体系 要求及使用指南》、《职业健康安全管理体系 要求》及相关产品标准</w:t>
            </w:r>
          </w:p>
          <w:p>
            <w:pPr>
              <w:spacing w:line="360" w:lineRule="auto"/>
              <w:rPr>
                <w:rFonts w:hint="eastAsia"/>
                <w:color w:val="auto"/>
              </w:rPr>
            </w:pPr>
            <w:r>
              <w:rPr>
                <w:rFonts w:hint="eastAsia"/>
                <w:color w:val="auto"/>
              </w:rPr>
              <w:t>产品执行的标准：</w:t>
            </w:r>
          </w:p>
          <w:p>
            <w:pPr>
              <w:spacing w:line="360" w:lineRule="auto"/>
              <w:ind w:left="360"/>
              <w:rPr>
                <w:rFonts w:hint="eastAsia"/>
                <w:color w:val="auto"/>
              </w:rPr>
            </w:pPr>
            <w:r>
              <w:rPr>
                <w:rFonts w:hint="eastAsia"/>
                <w:color w:val="auto"/>
              </w:rPr>
              <w:t>B/T 8651.3-2011 机床润滑系统元件 第3部分：微型电动油脂润滑泵</w:t>
            </w:r>
          </w:p>
          <w:p>
            <w:pPr>
              <w:spacing w:line="360" w:lineRule="auto"/>
              <w:ind w:left="360"/>
              <w:rPr>
                <w:rFonts w:hint="eastAsia"/>
                <w:color w:val="auto"/>
              </w:rPr>
            </w:pPr>
            <w:r>
              <w:rPr>
                <w:rFonts w:hint="eastAsia"/>
                <w:color w:val="auto"/>
              </w:rPr>
              <w:t>Q/3201 NBQE 01 润滑泵企业标准</w:t>
            </w:r>
          </w:p>
          <w:p>
            <w:pPr>
              <w:spacing w:line="360" w:lineRule="auto"/>
              <w:ind w:left="360"/>
              <w:rPr>
                <w:rFonts w:hint="eastAsia"/>
                <w:color w:val="auto"/>
              </w:rPr>
            </w:pPr>
            <w:r>
              <w:rPr>
                <w:rFonts w:hint="eastAsia"/>
                <w:color w:val="auto"/>
              </w:rPr>
              <w:t>获取方式：网上查录或购买，经查阅为现行有效版本，目前满足体系运行需要。</w:t>
            </w:r>
          </w:p>
          <w:p>
            <w:pPr>
              <w:spacing w:line="360" w:lineRule="auto"/>
              <w:rPr>
                <w:rFonts w:hint="eastAsia"/>
                <w:color w:val="auto"/>
                <w:sz w:val="21"/>
                <w:szCs w:val="21"/>
              </w:rPr>
            </w:pPr>
            <w:r>
              <w:rPr>
                <w:rFonts w:hint="eastAsia"/>
                <w:color w:val="auto"/>
                <w:sz w:val="21"/>
                <w:szCs w:val="21"/>
              </w:rPr>
              <w:t>查合规性评价</w:t>
            </w:r>
            <w:r>
              <w:rPr>
                <w:rFonts w:hint="eastAsia"/>
                <w:color w:val="auto"/>
                <w:sz w:val="21"/>
                <w:szCs w:val="21"/>
                <w:lang w:val="en-US" w:eastAsia="zh-CN"/>
              </w:rPr>
              <w:t>报告</w:t>
            </w:r>
            <w:r>
              <w:rPr>
                <w:rFonts w:hint="eastAsia"/>
                <w:color w:val="auto"/>
                <w:sz w:val="21"/>
                <w:szCs w:val="21"/>
              </w:rPr>
              <w:t>：20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r>
              <w:rPr>
                <w:rFonts w:hint="eastAsia"/>
                <w:color w:val="auto"/>
                <w:sz w:val="21"/>
                <w:szCs w:val="21"/>
                <w:lang w:val="en-US" w:eastAsia="zh-CN"/>
              </w:rPr>
              <w:t>13</w:t>
            </w:r>
            <w:r>
              <w:rPr>
                <w:rFonts w:hint="eastAsia"/>
                <w:color w:val="auto"/>
                <w:sz w:val="21"/>
                <w:szCs w:val="21"/>
              </w:rPr>
              <w:t>日进行合规性评价，提供了《合规性评价</w:t>
            </w:r>
            <w:r>
              <w:rPr>
                <w:rFonts w:hint="eastAsia"/>
                <w:color w:val="auto"/>
                <w:sz w:val="21"/>
                <w:szCs w:val="21"/>
                <w:lang w:val="en-US" w:eastAsia="zh-CN"/>
              </w:rPr>
              <w:t>报告</w:t>
            </w:r>
            <w:r>
              <w:rPr>
                <w:rFonts w:hint="eastAsia"/>
                <w:color w:val="auto"/>
                <w:sz w:val="21"/>
                <w:szCs w:val="21"/>
              </w:rPr>
              <w:t>》，内容包括：活动场所/产品/服务、重要环境因素、不可接受风险、现有控制措施、适用的法律法规及其对应条款、符合性评价等。</w:t>
            </w:r>
          </w:p>
          <w:p>
            <w:pPr>
              <w:spacing w:line="360" w:lineRule="auto"/>
              <w:rPr>
                <w:rFonts w:hint="eastAsia"/>
                <w:color w:val="auto"/>
                <w:sz w:val="21"/>
                <w:szCs w:val="21"/>
              </w:rPr>
            </w:pPr>
            <w:r>
              <w:rPr>
                <w:rFonts w:hint="eastAsia"/>
                <w:color w:val="auto"/>
                <w:sz w:val="21"/>
                <w:szCs w:val="21"/>
              </w:rPr>
              <w:t>评价了相关的法律法规，涉及火灾、固废排放、资源消耗、机械伤害、触电等</w:t>
            </w:r>
          </w:p>
          <w:p>
            <w:pPr>
              <w:spacing w:line="360" w:lineRule="auto"/>
              <w:rPr>
                <w:rFonts w:hint="eastAsia"/>
                <w:color w:val="auto"/>
                <w:sz w:val="21"/>
                <w:szCs w:val="21"/>
              </w:rPr>
            </w:pPr>
            <w:r>
              <w:rPr>
                <w:rFonts w:hint="eastAsia"/>
                <w:color w:val="auto"/>
                <w:sz w:val="21"/>
                <w:szCs w:val="21"/>
              </w:rPr>
              <w:t>评价结果：公司能够按照有关法律法规、公司文件进行控制、检查，能够遵守国家、地方的法律法规，合规性评价符合要求。</w:t>
            </w:r>
          </w:p>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法律法规中未列入与废气相关的标准及法规：《工作场所职业卫生管理规定》、《国家危险废物名录》、《生产经营单位生产安全事故应急预案编制导则》等；</w:t>
            </w:r>
          </w:p>
          <w:p>
            <w:pPr>
              <w:spacing w:before="120" w:line="360" w:lineRule="auto"/>
              <w:rPr>
                <w:rFonts w:hint="default" w:ascii="楷体" w:hAnsi="楷体" w:eastAsia="楷体" w:cs="Times New Roman"/>
                <w:color w:val="auto"/>
                <w:lang w:val="en-US" w:eastAsia="zh-CN"/>
              </w:rPr>
            </w:pPr>
            <w:r>
              <w:rPr>
                <w:rFonts w:hint="eastAsia" w:ascii="方正仿宋简体" w:eastAsia="方正仿宋简体"/>
                <w:b/>
                <w:lang w:val="en-US" w:eastAsia="zh-CN"/>
              </w:rPr>
              <w:t>部分法律法规未进行更新：《中华人民共和国噪声污染防治法》、《建设项目环境影响评价分类管理名录》、《中华人民共和国安全生产法》</w:t>
            </w:r>
          </w:p>
        </w:tc>
        <w:tc>
          <w:tcPr>
            <w:tcW w:w="993" w:type="dxa"/>
          </w:tcPr>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r>
              <w:rPr>
                <w:rFonts w:hint="eastAsia" w:ascii="楷体" w:hAnsi="楷体" w:eastAsia="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人事部</w:t>
            </w:r>
            <w:r>
              <w:rPr>
                <w:rFonts w:ascii="楷体" w:hAnsi="楷体" w:eastAsia="楷体"/>
              </w:rPr>
              <w:t>的</w:t>
            </w:r>
            <w:r>
              <w:rPr>
                <w:rFonts w:hint="eastAsia" w:ascii="楷体" w:hAnsi="楷体" w:eastAsia="楷体"/>
              </w:rPr>
              <w:t>质量目标及完成情况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质量目标的制定符合部门主要工作流程实际情况，有针对性，可测量。与质量方针保持一致。明确了目标考核的具体方法和频次。</w:t>
            </w:r>
          </w:p>
          <w:p>
            <w:pPr>
              <w:rPr>
                <w:rFonts w:hint="default" w:ascii="楷体" w:hAnsi="楷体" w:eastAsia="楷体" w:cs="宋体"/>
                <w:b/>
                <w:lang w:val="en-US" w:eastAsia="zh-CN"/>
              </w:rPr>
            </w:pPr>
            <w:r>
              <w:rPr>
                <w:rFonts w:hint="eastAsia" w:ascii="楷体" w:hAnsi="楷体" w:eastAsia="楷体" w:cs="宋体"/>
                <w:b/>
                <w:lang w:val="en-US" w:eastAsia="zh-CN"/>
              </w:rPr>
              <w:t>质量目标：                              考核结果</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 xml:space="preserve">培训计划实施率100%                        100%     </w:t>
            </w:r>
          </w:p>
          <w:p>
            <w:pPr>
              <w:pStyle w:val="2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2"/>
              <w:rPr>
                <w:rFonts w:hint="default" w:ascii="楷体" w:hAnsi="楷体" w:eastAsia="楷体" w:cs="宋体"/>
                <w:b w:val="0"/>
                <w:bCs w:val="0"/>
                <w:lang w:val="en-US" w:eastAsia="zh-CN"/>
              </w:rPr>
            </w:pPr>
            <w:r>
              <w:rPr>
                <w:rFonts w:hint="default" w:ascii="楷体" w:hAnsi="楷体" w:eastAsia="楷体" w:cs="宋体"/>
                <w:b w:val="0"/>
                <w:bCs w:val="0"/>
                <w:lang w:val="en-US" w:eastAsia="zh-CN"/>
              </w:rPr>
              <w:t>固体废弃物100%分类，合理处理；</w:t>
            </w:r>
            <w:r>
              <w:rPr>
                <w:rFonts w:hint="eastAsia" w:ascii="楷体" w:hAnsi="楷体" w:eastAsia="楷体" w:cs="宋体"/>
                <w:b w:val="0"/>
                <w:bCs w:val="0"/>
                <w:lang w:val="en-US" w:eastAsia="zh-CN"/>
              </w:rPr>
              <w:t xml:space="preserve">        100</w:t>
            </w:r>
          </w:p>
          <w:p>
            <w:pPr>
              <w:pStyle w:val="2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2"/>
              <w:rPr>
                <w:rFonts w:hint="eastAsia" w:ascii="楷体" w:hAnsi="楷体" w:eastAsia="楷体" w:cs="宋体"/>
                <w:b w:val="0"/>
                <w:bCs w:val="0"/>
                <w:lang w:val="en-US" w:eastAsia="zh-CN"/>
              </w:rPr>
            </w:pPr>
            <w:r>
              <w:rPr>
                <w:rFonts w:hint="eastAsia" w:ascii="楷体" w:hAnsi="楷体" w:eastAsia="楷体" w:cs="宋体"/>
                <w:b w:val="0"/>
                <w:bCs w:val="0"/>
                <w:lang w:val="en-US" w:eastAsia="zh-CN"/>
              </w:rPr>
              <w:t xml:space="preserve">重大安全事故发生率为0                 0 </w:t>
            </w:r>
          </w:p>
          <w:p>
            <w:pPr>
              <w:pStyle w:val="22"/>
              <w:rPr>
                <w:rFonts w:hint="eastAsia" w:ascii="楷体" w:hAnsi="楷体" w:eastAsia="楷体" w:cs="宋体"/>
                <w:b w:val="0"/>
                <w:bCs w:val="0"/>
                <w:lang w:val="en-US" w:eastAsia="zh-CN"/>
              </w:rPr>
            </w:pPr>
            <w:r>
              <w:rPr>
                <w:rFonts w:hint="eastAsia" w:ascii="楷体" w:hAnsi="楷体" w:eastAsia="楷体" w:cs="宋体"/>
                <w:b w:val="0"/>
                <w:bCs w:val="0"/>
                <w:lang w:val="en-US" w:eastAsia="zh-CN"/>
              </w:rPr>
              <w:t>火灾发生率为0                        0</w:t>
            </w:r>
          </w:p>
          <w:p>
            <w:pPr>
              <w:pStyle w:val="22"/>
              <w:rPr>
                <w:rFonts w:hint="eastAsia" w:ascii="楷体" w:hAnsi="楷体" w:eastAsia="楷体" w:cs="宋体"/>
                <w:b w:val="0"/>
                <w:bCs w:val="0"/>
                <w:lang w:val="en-US" w:eastAsia="zh-CN"/>
              </w:rPr>
            </w:pPr>
            <w:r>
              <w:rPr>
                <w:rFonts w:hint="default" w:ascii="楷体" w:hAnsi="楷体" w:eastAsia="楷体" w:cs="宋体"/>
                <w:b w:val="0"/>
                <w:bCs w:val="0"/>
                <w:lang w:val="en-US" w:eastAsia="zh-CN"/>
              </w:rPr>
              <w:t>职业病发生率为0</w:t>
            </w:r>
            <w:r>
              <w:rPr>
                <w:rFonts w:hint="eastAsia" w:ascii="楷体" w:hAnsi="楷体" w:eastAsia="楷体" w:cs="宋体"/>
                <w:b w:val="0"/>
                <w:bCs w:val="0"/>
                <w:lang w:val="en-US" w:eastAsia="zh-CN"/>
              </w:rPr>
              <w:t xml:space="preserve">                      0</w:t>
            </w:r>
          </w:p>
          <w:p>
            <w:pPr>
              <w:pStyle w:val="22"/>
              <w:rPr>
                <w:rFonts w:hint="default" w:ascii="楷体" w:hAnsi="楷体" w:eastAsia="楷体" w:cs="宋体"/>
                <w:b w:val="0"/>
                <w:bCs w:val="0"/>
                <w:lang w:val="en-US" w:eastAsia="zh-CN"/>
              </w:rPr>
            </w:pPr>
            <w:r>
              <w:rPr>
                <w:rFonts w:hint="default" w:ascii="楷体" w:hAnsi="楷体" w:eastAsia="楷体" w:cs="宋体"/>
                <w:b w:val="0"/>
                <w:bCs w:val="0"/>
                <w:lang w:val="en-US" w:eastAsia="zh-CN"/>
              </w:rPr>
              <w:t>传染病发生率为0</w:t>
            </w:r>
            <w:r>
              <w:rPr>
                <w:rFonts w:hint="eastAsia" w:ascii="楷体" w:hAnsi="楷体" w:eastAsia="楷体" w:cs="宋体"/>
                <w:b w:val="0"/>
                <w:bCs w:val="0"/>
                <w:lang w:val="en-US" w:eastAsia="zh-CN"/>
              </w:rPr>
              <w:t xml:space="preserve">                      0</w:t>
            </w:r>
          </w:p>
          <w:p>
            <w:pPr>
              <w:rPr>
                <w:rFonts w:ascii="楷体" w:hAnsi="楷体" w:eastAsia="楷体"/>
                <w:b/>
              </w:rPr>
            </w:pPr>
            <w:r>
              <w:rPr>
                <w:rFonts w:ascii="楷体" w:hAnsi="楷体" w:eastAsia="楷体" w:cs="宋体"/>
                <w:highlight w:val="lightGray"/>
              </w:rPr>
              <w:sym w:font="Wingdings 2" w:char="F098"/>
            </w:r>
            <w:r>
              <w:rPr>
                <w:rFonts w:hint="eastAsia" w:ascii="楷体" w:hAnsi="楷体" w:eastAsia="楷体" w:cs="宋体"/>
              </w:rPr>
              <w:t>目标在各部门进行了分解，</w:t>
            </w:r>
            <w:r>
              <w:rPr>
                <w:rFonts w:hint="eastAsia" w:ascii="楷体" w:hAnsi="楷体" w:eastAsia="楷体" w:cs="宋体"/>
                <w:lang w:val="en-US" w:eastAsia="zh-CN"/>
              </w:rPr>
              <w:t>考核时间</w:t>
            </w:r>
            <w:r>
              <w:rPr>
                <w:rFonts w:hint="eastAsia" w:ascii="楷体" w:hAnsi="楷体" w:eastAsia="楷体" w:cs="宋体"/>
              </w:rPr>
              <w:t>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1-9</w:t>
            </w:r>
            <w:r>
              <w:rPr>
                <w:rFonts w:hint="eastAsia" w:ascii="楷体" w:hAnsi="楷体" w:eastAsia="楷体" w:cs="宋体"/>
              </w:rPr>
              <w:t>月进行了考核，结果显示本年度目标实现。</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本部门应执行的运行控制文件：《生产过程控制程序》</w:t>
            </w:r>
            <w:r>
              <w:rPr>
                <w:rFonts w:hint="eastAsia" w:ascii="楷体" w:hAnsi="楷体" w:eastAsia="楷体" w:cs="Times New Roman"/>
                <w:bCs/>
                <w:szCs w:val="21"/>
                <w:lang w:val="en-GB"/>
              </w:rPr>
              <w:t>、《风险和机遇的应对控制程序》</w:t>
            </w:r>
            <w:r>
              <w:rPr>
                <w:rFonts w:hint="eastAsia" w:ascii="楷体" w:hAnsi="楷体" w:eastAsia="楷体" w:cs="Times New Roman"/>
                <w:bCs/>
                <w:szCs w:val="21"/>
                <w:lang w:val="en-GB" w:eastAsia="zh-CN"/>
              </w:rPr>
              <w:t>、</w:t>
            </w:r>
            <w:r>
              <w:rPr>
                <w:rFonts w:hint="eastAsia" w:ascii="楷体" w:hAnsi="楷体" w:eastAsia="楷体" w:cs="Times New Roman"/>
                <w:bCs/>
                <w:szCs w:val="21"/>
                <w:lang w:val="en-GB"/>
              </w:rPr>
              <w:t>《环境因素识别与评价管理程序》、《危险源辨识与风险评价控制措施管理程序》</w:t>
            </w:r>
            <w:r>
              <w:rPr>
                <w:rFonts w:hint="eastAsia" w:ascii="楷体" w:hAnsi="楷体" w:eastAsia="楷体" w:cs="Times New Roman"/>
                <w:bCs/>
                <w:szCs w:val="21"/>
              </w:rPr>
              <w:t>、《运行控制管理程序》</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人事部</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主要劳保用品为：线手套、洗衣粉、胶手套、口罩</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耳塞</w:t>
            </w:r>
            <w:r>
              <w:rPr>
                <w:rFonts w:hint="eastAsia" w:ascii="楷体" w:hAnsi="楷体" w:eastAsia="楷体" w:cs="Times New Roman"/>
                <w:bCs/>
                <w:szCs w:val="21"/>
              </w:rPr>
              <w:t>、创</w:t>
            </w:r>
            <w:r>
              <w:rPr>
                <w:rFonts w:hint="eastAsia" w:ascii="楷体" w:hAnsi="楷体" w:eastAsia="楷体" w:cs="Times New Roman"/>
                <w:bCs/>
                <w:szCs w:val="21"/>
                <w:lang w:val="en-GB" w:eastAsia="zh-CN"/>
              </w:rPr>
              <w:drawing>
                <wp:anchor distT="0" distB="0" distL="114300" distR="114300" simplePos="0" relativeHeight="251660288" behindDoc="0" locked="0" layoutInCell="1" allowOverlap="1">
                  <wp:simplePos x="0" y="0"/>
                  <wp:positionH relativeFrom="column">
                    <wp:posOffset>3787775</wp:posOffset>
                  </wp:positionH>
                  <wp:positionV relativeFrom="paragraph">
                    <wp:posOffset>-1187450</wp:posOffset>
                  </wp:positionV>
                  <wp:extent cx="2757805" cy="1875790"/>
                  <wp:effectExtent l="0" t="0" r="10795" b="3810"/>
                  <wp:wrapSquare wrapText="bothSides"/>
                  <wp:docPr id="2" name="图片 2" descr="e2ac7db7d1a6670496a9c78110456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ac7db7d1a6670496a9c78110456a5"/>
                          <pic:cNvPicPr>
                            <a:picLocks noChangeAspect="1"/>
                          </pic:cNvPicPr>
                        </pic:nvPicPr>
                        <pic:blipFill>
                          <a:blip r:embed="rId6"/>
                          <a:stretch>
                            <a:fillRect/>
                          </a:stretch>
                        </pic:blipFill>
                        <pic:spPr>
                          <a:xfrm>
                            <a:off x="0" y="0"/>
                            <a:ext cx="2757805" cy="1875790"/>
                          </a:xfrm>
                          <a:prstGeom prst="rect">
                            <a:avLst/>
                          </a:prstGeom>
                        </pic:spPr>
                      </pic:pic>
                    </a:graphicData>
                  </a:graphic>
                </wp:anchor>
              </w:drawing>
            </w:r>
            <w:r>
              <w:rPr>
                <w:rFonts w:hint="eastAsia" w:ascii="楷体" w:hAnsi="楷体" w:eastAsia="楷体" w:cs="Times New Roman"/>
                <w:bCs/>
                <w:szCs w:val="21"/>
              </w:rPr>
              <w:t>口贴 、纱布、线手套、胶手套，记录了发放时间、领用人等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商户、固体废弃物处理等。提供了“相关方环境及职业健康安全告知书”</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default"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eastAsia="zh-CN"/>
              </w:rPr>
              <w:t>人事部</w:t>
            </w:r>
            <w:r>
              <w:rPr>
                <w:rFonts w:hint="eastAsia" w:ascii="楷体" w:hAnsi="楷体" w:eastAsia="楷体" w:cs="Times New Roman"/>
                <w:bCs/>
                <w:szCs w:val="21"/>
                <w:lang w:val="en-GB"/>
              </w:rPr>
              <w:t>每天巡视现场，对环境安全事宜进行检查，发现问题当即纠正；每月进行检查统计分析</w:t>
            </w:r>
            <w:r>
              <w:rPr>
                <w:rFonts w:hint="eastAsia" w:ascii="楷体" w:hAnsi="楷体" w:eastAsia="楷体" w:cs="Times New Roman"/>
                <w:bCs/>
                <w:szCs w:val="21"/>
                <w:lang w:val="en-GB" w:eastAsia="zh-CN"/>
              </w:rPr>
              <w:t>《工作环境、安全检查表</w:t>
            </w:r>
            <w:r>
              <w:rPr>
                <w:rFonts w:hint="eastAsia" w:ascii="楷体" w:hAnsi="楷体" w:eastAsia="楷体" w:cs="Times New Roman"/>
                <w:bCs/>
                <w:szCs w:val="21"/>
                <w:lang w:val="en-US" w:eastAsia="zh-CN"/>
              </w:rPr>
              <w:t>》、《消防器材检查记录》《部门工作质量检查考核记录》</w:t>
            </w:r>
          </w:p>
          <w:p>
            <w:pPr>
              <w:rPr>
                <w:rFonts w:hint="eastAsia" w:ascii="楷体" w:hAnsi="楷体" w:eastAsia="楷体" w:cs="Times New Roman"/>
                <w:bCs/>
                <w:szCs w:val="21"/>
                <w:lang w:eastAsia="zh-CN"/>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r>
              <w:rPr>
                <w:rFonts w:hint="eastAsia" w:ascii="楷体" w:hAnsi="楷体" w:eastAsia="楷体" w:cs="Times New Roman"/>
                <w:bCs/>
                <w:szCs w:val="21"/>
                <w:lang w:eastAsia="zh-CN"/>
              </w:rPr>
              <w:drawing>
                <wp:inline distT="0" distB="0" distL="114300" distR="114300">
                  <wp:extent cx="3688080" cy="1737995"/>
                  <wp:effectExtent l="0" t="0" r="7620" b="1905"/>
                  <wp:docPr id="1" name="图片 1" descr="37f564f0a2fa4b14b6a6dafd18a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f564f0a2fa4b14b6a6dafd18a4735"/>
                          <pic:cNvPicPr>
                            <a:picLocks noChangeAspect="1"/>
                          </pic:cNvPicPr>
                        </pic:nvPicPr>
                        <pic:blipFill>
                          <a:blip r:embed="rId7"/>
                          <a:stretch>
                            <a:fillRect/>
                          </a:stretch>
                        </pic:blipFill>
                        <pic:spPr>
                          <a:xfrm>
                            <a:off x="0" y="0"/>
                            <a:ext cx="3688080" cy="1737995"/>
                          </a:xfrm>
                          <a:prstGeom prst="rect">
                            <a:avLst/>
                          </a:prstGeom>
                        </pic:spPr>
                      </pic:pic>
                    </a:graphicData>
                  </a:graphic>
                </wp:inline>
              </w:drawing>
            </w: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人事部</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eastAsia" w:ascii="楷体" w:hAnsi="楷体" w:eastAsia="楷体" w:cs="Times New Roman"/>
                <w:bCs/>
                <w:szCs w:val="21"/>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p>
            <w:pPr>
              <w:rPr>
                <w:rFonts w:hint="eastAsia" w:ascii="楷体" w:hAnsi="楷体" w:eastAsia="楷体" w:cs="Times New Roman"/>
                <w:bCs/>
                <w:szCs w:val="21"/>
              </w:rPr>
            </w:pPr>
          </w:p>
          <w:p>
            <w:pPr>
              <w:rPr>
                <w:rFonts w:hint="eastAsia"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提供：</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《环境检测报告》编号：苏环（JH）字（2022）第P082602号，检定日期：2022年8月29日，检测机构：江苏苏环工程质量检测有限公司</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《职业健康检查总结报告书》编号：（和合）职检字第2022-0431-01-ZG号，检测日期：2022年9月9号，检测机构：玉环和合妇儿医院</w:t>
            </w:r>
          </w:p>
          <w:p>
            <w:pPr>
              <w:rPr>
                <w:rFonts w:hint="eastAsia" w:ascii="楷体" w:hAnsi="楷体" w:eastAsia="楷体" w:cs="Times New Roman"/>
                <w:bCs/>
                <w:szCs w:val="21"/>
                <w:lang w:val="en-US" w:eastAsia="zh-CN"/>
              </w:rPr>
            </w:pPr>
            <w:bookmarkStart w:id="1" w:name="_GoBack"/>
            <w:r>
              <w:rPr>
                <w:rFonts w:hint="eastAsia" w:ascii="楷体" w:hAnsi="楷体" w:eastAsia="楷体" w:cs="Times New Roman"/>
                <w:bCs/>
                <w:szCs w:val="21"/>
                <w:lang w:val="en-US" w:eastAsia="zh-CN"/>
              </w:rPr>
              <w:t>李成朋，体检编号：90041807，种类：噪声，体检日期：2022.9.6，工种：数控车床，体检结果：合格</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舒小英，体检编号：90041808，种类：噪声，体检日期：2022.9.6，工种：钻孔机操作工，体检结果：合格</w:t>
            </w:r>
          </w:p>
          <w:p>
            <w:pPr>
              <w:rPr>
                <w:rFonts w:hint="default"/>
                <w:lang w:val="en-US" w:eastAsia="zh-CN"/>
              </w:rPr>
            </w:pPr>
            <w:r>
              <w:rPr>
                <w:rFonts w:hint="eastAsia" w:ascii="楷体" w:hAnsi="楷体" w:eastAsia="楷体" w:cs="Times New Roman"/>
                <w:bCs/>
                <w:szCs w:val="21"/>
                <w:lang w:val="en-US" w:eastAsia="zh-CN"/>
              </w:rPr>
              <w:t>夏强风，体检编号：90041811，种类：噪声，体检日期：2022.9.6，工种：包装工，体检结果：合格</w:t>
            </w:r>
          </w:p>
          <w:bookmarkEnd w:id="1"/>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《关于浙江沪润智能装备有限公司年产10万套润滑泵机及附件生产线技术改造项目 环境影响报告表的批复》，日期：2019年12月16日，编号：台环建（玉）[2019]313号</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《关于浙江沪润智能装备有限公司年产10万套润滑泵机及附件生产线技术改造项目固体废物污染防治设施竣工环境保护验收意见的复函》，日期：2020年8月31日，编号：台环验（玉）[2020]158号</w:t>
            </w:r>
          </w:p>
          <w:p>
            <w:pPr>
              <w:rPr>
                <w:rFonts w:hint="default" w:ascii="楷体" w:hAnsi="楷体" w:eastAsia="楷体" w:cs="Times New Roman"/>
                <w:bCs/>
                <w:szCs w:val="21"/>
                <w:lang w:val="en-US"/>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1、查策划有《应急准备和响应管理程序》，编制有《应急准备和响应资料》。</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提供有“火灾消防演习”。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——演练时间：时间2022年6月10日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分析与评价</w:t>
            </w:r>
          </w:p>
        </w:tc>
        <w:tc>
          <w:tcPr>
            <w:tcW w:w="960" w:type="dxa"/>
          </w:tcPr>
          <w:p>
            <w:pPr>
              <w:rPr>
                <w:rFonts w:hint="eastAsia" w:ascii="楷体" w:hAnsi="楷体" w:eastAsia="楷体"/>
                <w:bCs/>
                <w:lang w:eastAsia="zh-CN"/>
              </w:rPr>
            </w:pPr>
            <w:r>
              <w:rPr>
                <w:rFonts w:hint="eastAsia" w:ascii="楷体" w:hAnsi="楷体" w:eastAsia="楷体"/>
                <w:bCs/>
                <w:lang w:val="en-US" w:eastAsia="zh-CN"/>
              </w:rPr>
              <w:t>QEO</w:t>
            </w:r>
            <w:r>
              <w:rPr>
                <w:rFonts w:hint="eastAsia" w:ascii="楷体" w:hAnsi="楷体" w:eastAsia="楷体"/>
                <w:bCs/>
              </w:rPr>
              <w:t>9.1.</w:t>
            </w:r>
            <w:r>
              <w:rPr>
                <w:rFonts w:hint="eastAsia" w:ascii="楷体" w:hAnsi="楷体" w:eastAsia="楷体"/>
                <w:bCs/>
                <w:lang w:val="en-US" w:eastAsia="zh-CN"/>
              </w:rPr>
              <w:t>1</w:t>
            </w:r>
          </w:p>
        </w:tc>
        <w:tc>
          <w:tcPr>
            <w:tcW w:w="10596" w:type="dxa"/>
          </w:tcPr>
          <w:p>
            <w:pPr>
              <w:rPr>
                <w:rFonts w:ascii="楷体" w:hAnsi="楷体" w:eastAsia="楷体"/>
                <w:bCs/>
              </w:rPr>
            </w:pPr>
            <w:r>
              <w:rPr>
                <w:rFonts w:hint="eastAsia" w:ascii="楷体" w:hAnsi="楷体" w:eastAsia="楷体"/>
              </w:rPr>
              <w:sym w:font="Wingdings 2" w:char="F098"/>
            </w:r>
            <w:r>
              <w:rPr>
                <w:rFonts w:hint="eastAsia" w:ascii="楷体" w:hAnsi="楷体" w:eastAsia="楷体"/>
                <w:bCs/>
              </w:rPr>
              <w:t>建立《与顾客有关过程管理程序》《顾客满意度监测管理程序》《绩效测量和监视管理程序》《数据分析管理程序》对信息进行分析处理。</w:t>
            </w:r>
          </w:p>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查通过体系运行所进行监视和测量结果的分析评价：</w:t>
            </w:r>
          </w:p>
          <w:p>
            <w:pPr>
              <w:rPr>
                <w:rFonts w:ascii="楷体" w:hAnsi="楷体" w:eastAsia="楷体"/>
              </w:rPr>
            </w:pPr>
            <w:r>
              <w:rPr>
                <w:rFonts w:hint="eastAsia" w:ascii="楷体" w:hAnsi="楷体" w:eastAsia="楷体"/>
              </w:rPr>
              <w:t>1、产品的符合性：通过进货检验、销售服务检验及不合格品的控制达到产品的符合性；</w:t>
            </w:r>
          </w:p>
          <w:p>
            <w:pPr>
              <w:rPr>
                <w:rFonts w:ascii="楷体" w:hAnsi="楷体" w:eastAsia="楷体"/>
              </w:rPr>
            </w:pPr>
            <w:r>
              <w:rPr>
                <w:rFonts w:hint="eastAsia" w:ascii="楷体" w:hAnsi="楷体" w:eastAsia="楷体"/>
              </w:rPr>
              <w:t>2、顾客满意程度：对客户进行顾客满意度调查，经统计顾客满意度达到9</w:t>
            </w:r>
            <w:r>
              <w:rPr>
                <w:rFonts w:hint="eastAsia" w:ascii="楷体" w:hAnsi="楷体" w:eastAsia="楷体"/>
                <w:lang w:val="en-US" w:eastAsia="zh-CN"/>
              </w:rPr>
              <w:t>5</w:t>
            </w:r>
            <w:r>
              <w:rPr>
                <w:rFonts w:hint="eastAsia" w:ascii="楷体" w:hAnsi="楷体" w:eastAsia="楷体"/>
              </w:rPr>
              <w:t>%，达到了预期目标；</w:t>
            </w:r>
          </w:p>
          <w:p>
            <w:pPr>
              <w:rPr>
                <w:rFonts w:ascii="楷体" w:hAnsi="楷体" w:eastAsia="楷体"/>
              </w:rPr>
            </w:pPr>
            <w:r>
              <w:rPr>
                <w:rFonts w:hint="eastAsia" w:ascii="楷体" w:hAnsi="楷体" w:eastAsia="楷体"/>
              </w:rPr>
              <w:t>3、对供应商年度评价，从产品质量、交货期、价格、售后服务等方面进行评价。</w:t>
            </w:r>
          </w:p>
          <w:p>
            <w:pPr>
              <w:rPr>
                <w:rFonts w:ascii="楷体" w:hAnsi="楷体" w:eastAsia="楷体"/>
              </w:rPr>
            </w:pPr>
            <w:r>
              <w:rPr>
                <w:rFonts w:hint="eastAsia" w:ascii="楷体" w:hAnsi="楷体" w:eastAsia="楷体"/>
              </w:rPr>
              <w:t>4、查目标统计表，均满足策划的要求。</w:t>
            </w:r>
          </w:p>
          <w:p>
            <w:pPr>
              <w:rPr>
                <w:rFonts w:ascii="楷体" w:hAnsi="楷体" w:eastAsia="楷体"/>
              </w:rPr>
            </w:pPr>
            <w:r>
              <w:rPr>
                <w:rFonts w:hint="eastAsia" w:ascii="楷体" w:hAnsi="楷体" w:eastAsia="楷体"/>
              </w:rPr>
              <w:t>5、针对识别出的风险和机遇采取了相应的措施；优选供应商，拓展销售渠道，此项措施正在组织实施中。</w:t>
            </w:r>
          </w:p>
          <w:p>
            <w:pPr>
              <w:rPr>
                <w:rFonts w:hint="eastAsia" w:ascii="楷体" w:hAnsi="楷体" w:eastAsia="楷体"/>
              </w:rPr>
            </w:pPr>
            <w:r>
              <w:rPr>
                <w:rFonts w:hint="eastAsia" w:ascii="楷体" w:hAnsi="楷体" w:eastAsia="楷体"/>
              </w:rPr>
              <w:t>6、管理体系改进的需求：通过体系运行，产品的符合性、内审、管评的有效性及企业持续改进，不断完善各项软硬件环境，提高产品质量，满足客户需求</w:t>
            </w:r>
          </w:p>
          <w:p>
            <w:pPr>
              <w:rPr>
                <w:rFonts w:hint="eastAsia" w:ascii="楷体" w:hAnsi="楷体" w:eastAsia="楷体" w:cs="Times New Roman"/>
                <w:bCs/>
                <w:szCs w:val="21"/>
                <w:lang w:eastAsia="zh-CN"/>
              </w:rPr>
            </w:pPr>
            <w:r>
              <w:rPr>
                <w:rFonts w:hint="eastAsia" w:ascii="楷体" w:hAnsi="楷体" w:eastAsia="楷体" w:cs="Times New Roman"/>
                <w:bCs/>
                <w:szCs w:val="21"/>
                <w:lang w:val="en-US" w:eastAsia="zh-CN"/>
              </w:rPr>
              <w:t>7、</w:t>
            </w:r>
            <w:r>
              <w:rPr>
                <w:rFonts w:hint="eastAsia" w:ascii="楷体" w:hAnsi="楷体" w:eastAsia="楷体" w:cs="Times New Roman"/>
                <w:bCs/>
                <w:szCs w:val="21"/>
                <w:lang w:eastAsia="zh-CN"/>
              </w:rPr>
              <w:t>人事部</w:t>
            </w:r>
            <w:r>
              <w:rPr>
                <w:rFonts w:hint="eastAsia" w:ascii="楷体" w:hAnsi="楷体" w:eastAsia="楷体" w:cs="Times New Roman"/>
                <w:bCs/>
                <w:szCs w:val="21"/>
                <w:lang w:val="en-GB"/>
              </w:rPr>
              <w:t>每天巡视现场，对环境安全事宜进行检查，发现问题当即纠正；每月进行检查统计分析</w:t>
            </w:r>
            <w:r>
              <w:rPr>
                <w:rFonts w:hint="eastAsia" w:ascii="楷体" w:hAnsi="楷体" w:eastAsia="楷体" w:cs="Times New Roman"/>
                <w:bCs/>
                <w:szCs w:val="21"/>
                <w:lang w:val="en-GB" w:eastAsia="zh-CN"/>
              </w:rPr>
              <w:t>《工作环境、安全检查表</w:t>
            </w:r>
            <w:r>
              <w:rPr>
                <w:rFonts w:hint="eastAsia" w:ascii="楷体" w:hAnsi="楷体" w:eastAsia="楷体" w:cs="Times New Roman"/>
                <w:bCs/>
                <w:szCs w:val="21"/>
                <w:lang w:val="en-US" w:eastAsia="zh-CN"/>
              </w:rPr>
              <w:t>》、《消防器材检查记录》《部门工作质量检查考核记录》</w:t>
            </w:r>
          </w:p>
          <w:p>
            <w:pPr>
              <w:rPr>
                <w:rFonts w:hint="eastAsia" w:ascii="楷体" w:hAnsi="楷体" w:eastAsia="楷体" w:cs="Times New Roman"/>
                <w:bCs/>
                <w:szCs w:val="21"/>
                <w:lang w:val="en-US" w:eastAsia="zh-CN"/>
              </w:rPr>
            </w:pPr>
            <w:r>
              <w:rPr>
                <w:rFonts w:hint="eastAsia" w:ascii="楷体" w:hAnsi="楷体" w:eastAsia="楷体"/>
              </w:rPr>
              <w:sym w:font="Wingdings 2" w:char="F098"/>
            </w:r>
            <w:r>
              <w:rPr>
                <w:rFonts w:hint="eastAsia" w:ascii="楷体" w:hAnsi="楷体" w:eastAsia="楷体" w:cs="Times New Roman"/>
                <w:bCs/>
                <w:szCs w:val="21"/>
                <w:lang w:val="en-US" w:eastAsia="zh-CN"/>
              </w:rPr>
              <w:t>提供：</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《噪声环境检测报告》编号：苏环（JH）字（2022）第P082602号，检定日期：2022年8月29日，检测机构：江苏苏环工程质量检测有限公司</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《职业健康检查总结报告书》编号：（和合）职检字第2022-0431-01-ZG号，检测日期：2022年9月9号，检测机构：玉环和合妇儿医院</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李成朋，体检编号：90041807，种类：噪声，体检日期：2022.9.6，工种：数控车床，体检结果：合格</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舒小英，体检编号：90041808，种类：噪声，体检日期：2022.9.6，工种：钻孔机操作工，体检结果：合格</w:t>
            </w:r>
          </w:p>
          <w:p>
            <w:pPr>
              <w:rPr>
                <w:rFonts w:hint="default"/>
                <w:lang w:val="en-US" w:eastAsia="zh-CN"/>
              </w:rPr>
            </w:pPr>
            <w:r>
              <w:rPr>
                <w:rFonts w:hint="eastAsia" w:ascii="楷体" w:hAnsi="楷体" w:eastAsia="楷体" w:cs="Times New Roman"/>
                <w:bCs/>
                <w:szCs w:val="21"/>
                <w:lang w:val="en-US" w:eastAsia="zh-CN"/>
              </w:rPr>
              <w:t>夏强风，体检编号：90041811，种类：噪声，体检日期：2022.9.6，工种：包装工，体检结果：合格</w:t>
            </w:r>
          </w:p>
          <w:p>
            <w:pPr>
              <w:rPr>
                <w:rFonts w:ascii="楷体" w:hAnsi="楷体" w:eastAsia="楷体"/>
              </w:rPr>
            </w:pPr>
          </w:p>
          <w:p>
            <w:pPr>
              <w:rPr>
                <w:rFonts w:ascii="楷体" w:hAnsi="楷体" w:eastAsia="楷体"/>
                <w:bCs/>
              </w:rPr>
            </w:pPr>
            <w:r>
              <w:rPr>
                <w:rFonts w:hint="eastAsia" w:ascii="楷体" w:hAnsi="楷体" w:eastAsia="楷体"/>
              </w:rPr>
              <w:sym w:font="Wingdings 2" w:char="F098"/>
            </w:r>
            <w:r>
              <w:rPr>
                <w:rFonts w:hint="eastAsia" w:ascii="楷体" w:hAnsi="楷体" w:eastAsia="楷体"/>
              </w:rPr>
              <w:t>综上所述，基本符合标准要求。</w:t>
            </w:r>
            <w:r>
              <w:rPr>
                <w:rFonts w:ascii="楷体" w:hAnsi="楷体" w:eastAsia="楷体"/>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楷体" w:hAnsi="楷体" w:eastAsia="楷体"/>
              </w:rPr>
            </w:pPr>
            <w:r>
              <w:rPr>
                <w:rFonts w:hint="eastAsia" w:ascii="楷体" w:hAnsi="楷体" w:eastAsia="楷体"/>
                <w:bCs/>
              </w:rPr>
              <w:t>内部审核</w:t>
            </w:r>
          </w:p>
        </w:tc>
        <w:tc>
          <w:tcPr>
            <w:tcW w:w="960" w:type="dxa"/>
          </w:tcPr>
          <w:p>
            <w:pPr>
              <w:rPr>
                <w:rFonts w:ascii="楷体" w:hAnsi="楷体" w:eastAsia="楷体"/>
                <w:b/>
                <w:bCs/>
              </w:rPr>
            </w:pPr>
            <w:r>
              <w:rPr>
                <w:rFonts w:hint="eastAsia" w:ascii="楷体" w:hAnsi="楷体" w:eastAsia="楷体"/>
                <w:b/>
                <w:bCs/>
                <w:lang w:val="en-US" w:eastAsia="zh-CN"/>
              </w:rPr>
              <w:t>QEO</w:t>
            </w:r>
            <w:r>
              <w:rPr>
                <w:rFonts w:hint="eastAsia" w:ascii="楷体" w:hAnsi="楷体" w:eastAsia="楷体"/>
                <w:b/>
                <w:bCs/>
              </w:rPr>
              <w:t>9.2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编制《</w:t>
            </w:r>
            <w:r>
              <w:rPr>
                <w:rFonts w:hint="eastAsia" w:ascii="楷体" w:hAnsi="楷体" w:eastAsia="楷体"/>
                <w:lang w:val="zh-CN"/>
              </w:rPr>
              <w:t>内部审核控制程序</w:t>
            </w:r>
            <w:r>
              <w:rPr>
                <w:rFonts w:hint="eastAsia" w:ascii="楷体" w:hAnsi="楷体" w:eastAsia="楷体"/>
              </w:rPr>
              <w:t>》，基本符合标准要求。</w:t>
            </w:r>
          </w:p>
          <w:p>
            <w:pPr>
              <w:rPr>
                <w:rFonts w:ascii="楷体" w:hAnsi="楷体" w:eastAsia="楷体"/>
              </w:rPr>
            </w:pPr>
            <w:r>
              <w:rPr>
                <w:rFonts w:hint="eastAsia" w:ascii="楷体" w:hAnsi="楷体" w:eastAsia="楷体"/>
              </w:rPr>
              <w:t>经查问：总经理、管代、各部门主管均经培训并参加了内部审核。</w:t>
            </w:r>
          </w:p>
          <w:p>
            <w:pPr>
              <w:rPr>
                <w:rFonts w:ascii="楷体" w:hAnsi="楷体" w:eastAsia="楷体"/>
              </w:rPr>
            </w:pP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w:t>
            </w:r>
            <w:r>
              <w:rPr>
                <w:rFonts w:hint="eastAsia" w:ascii="楷体" w:hAnsi="楷体" w:eastAsia="楷体"/>
                <w:lang w:val="en-US" w:eastAsia="zh-CN"/>
              </w:rPr>
              <w:t>8</w:t>
            </w:r>
            <w:r>
              <w:rPr>
                <w:rFonts w:hint="eastAsia" w:ascii="楷体" w:hAnsi="楷体" w:eastAsia="楷体"/>
              </w:rPr>
              <w:t>月</w:t>
            </w:r>
            <w:r>
              <w:rPr>
                <w:rFonts w:hint="eastAsia" w:ascii="楷体" w:hAnsi="楷体" w:eastAsia="楷体"/>
                <w:lang w:val="en-US" w:eastAsia="zh-CN"/>
              </w:rPr>
              <w:t>15-16</w:t>
            </w:r>
            <w:r>
              <w:rPr>
                <w:rFonts w:hint="eastAsia" w:ascii="楷体" w:hAnsi="楷体" w:eastAsia="楷体"/>
              </w:rPr>
              <w:t>日开展了管理体系内部审核活动，并提供有以下内审的资料：</w:t>
            </w:r>
          </w:p>
          <w:p>
            <w:pPr>
              <w:rPr>
                <w:rFonts w:ascii="楷体" w:hAnsi="楷体" w:eastAsia="楷体"/>
              </w:rPr>
            </w:pPr>
            <w:r>
              <w:rPr>
                <w:rFonts w:hint="eastAsia" w:ascii="楷体" w:hAnsi="楷体" w:eastAsia="楷体"/>
              </w:rPr>
              <w:t>——《审核实施计划》，批准：</w:t>
            </w:r>
            <w:r>
              <w:rPr>
                <w:rFonts w:hint="eastAsia" w:ascii="楷体" w:hAnsi="楷体" w:eastAsia="楷体"/>
                <w:lang w:eastAsia="zh-CN"/>
              </w:rPr>
              <w:t>金登伟</w:t>
            </w:r>
            <w:r>
              <w:rPr>
                <w:rFonts w:hint="eastAsia" w:ascii="楷体" w:hAnsi="楷体" w:eastAsia="楷体"/>
              </w:rPr>
              <w:t>。计划中规定审核的目的、依据、范围、时间、审核安排；审核组成员。</w:t>
            </w:r>
          </w:p>
          <w:p>
            <w:pPr>
              <w:rPr>
                <w:rFonts w:ascii="楷体" w:hAnsi="楷体" w:eastAsia="楷体"/>
              </w:rPr>
            </w:pPr>
            <w:r>
              <w:rPr>
                <w:rFonts w:hint="eastAsia" w:ascii="楷体" w:hAnsi="楷体" w:eastAsia="楷体"/>
              </w:rPr>
              <w:t>计划中没有漏标准条款、没有遗漏体系覆盖的部门和场所，内审员没有审核自己的工作。</w:t>
            </w:r>
          </w:p>
          <w:p>
            <w:pPr>
              <w:rPr>
                <w:rFonts w:ascii="楷体" w:hAnsi="楷体" w:eastAsia="楷体"/>
              </w:rPr>
            </w:pPr>
            <w:r>
              <w:rPr>
                <w:rFonts w:hint="eastAsia" w:ascii="楷体" w:hAnsi="楷体" w:eastAsia="楷体"/>
              </w:rPr>
              <w:t>——内审首末次会议签到（领导层、各部门负责人）；</w:t>
            </w:r>
          </w:p>
          <w:p>
            <w:pPr>
              <w:rPr>
                <w:rFonts w:ascii="楷体" w:hAnsi="楷体" w:eastAsia="楷体"/>
              </w:rPr>
            </w:pPr>
            <w:r>
              <w:rPr>
                <w:rFonts w:hint="eastAsia" w:ascii="楷体" w:hAnsi="楷体" w:eastAsia="楷体"/>
              </w:rPr>
              <w:t>——内部审核检查表，审核按计划进行，没有遗漏标准条款及体系覆盖的部门和场所，内审员没有审核自己的工作。</w:t>
            </w:r>
          </w:p>
          <w:p>
            <w:pPr>
              <w:rPr>
                <w:rFonts w:ascii="楷体" w:hAnsi="楷体" w:eastAsia="楷体"/>
              </w:rPr>
            </w:pPr>
            <w:r>
              <w:rPr>
                <w:rFonts w:hint="eastAsia" w:ascii="楷体" w:hAnsi="楷体" w:eastAsia="楷体"/>
              </w:rPr>
              <w:t>——本次内审发现1项不合格，在</w:t>
            </w:r>
            <w:r>
              <w:rPr>
                <w:rFonts w:hint="eastAsia" w:ascii="楷体" w:hAnsi="楷体" w:eastAsia="楷体"/>
                <w:lang w:val="en-US" w:eastAsia="zh-CN"/>
              </w:rPr>
              <w:t>销售部9</w:t>
            </w:r>
            <w:r>
              <w:rPr>
                <w:rFonts w:hint="eastAsia" w:ascii="楷体" w:hAnsi="楷体" w:eastAsia="楷体"/>
              </w:rPr>
              <w:t>.</w:t>
            </w:r>
            <w:r>
              <w:rPr>
                <w:rFonts w:hint="eastAsia" w:ascii="楷体" w:hAnsi="楷体" w:eastAsia="楷体"/>
                <w:lang w:val="en-US" w:eastAsia="zh-CN"/>
              </w:rPr>
              <w:t>1.2</w:t>
            </w:r>
            <w:r>
              <w:rPr>
                <w:rFonts w:hint="eastAsia" w:ascii="楷体" w:hAnsi="楷体" w:eastAsia="楷体"/>
              </w:rPr>
              <w:t>条款，为一般不符合项</w:t>
            </w:r>
            <w:r>
              <w:rPr>
                <w:rFonts w:hint="eastAsia" w:ascii="楷体" w:hAnsi="楷体" w:eastAsia="楷体"/>
                <w:lang w:eastAsia="zh-CN"/>
              </w:rPr>
              <w:t>：9.1.2条款：</w:t>
            </w:r>
            <w:r>
              <w:rPr>
                <w:rFonts w:hint="eastAsia" w:ascii="楷体" w:hAnsi="楷体" w:eastAsia="楷体"/>
                <w:lang w:val="en-US" w:eastAsia="zh-CN"/>
              </w:rPr>
              <w:t>销售部未能提供对客户满意度调查进行统计分析的证据</w:t>
            </w:r>
            <w:r>
              <w:rPr>
                <w:rFonts w:hint="eastAsia" w:ascii="楷体" w:hAnsi="楷体" w:eastAsia="楷体"/>
              </w:rPr>
              <w:t>，查看《不符合报告》，不符合事实描述清晰，不符合原因分析准确，并制定了纠正及纠正预防措施，且措施可行，并对其有效性进行了验证，验证人：</w:t>
            </w:r>
            <w:r>
              <w:rPr>
                <w:rFonts w:hint="eastAsia" w:ascii="楷体" w:hAnsi="楷体" w:eastAsia="楷体"/>
                <w:lang w:val="en-US" w:eastAsia="zh-CN"/>
              </w:rPr>
              <w:t>刘红</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8</w:t>
            </w:r>
            <w:r>
              <w:rPr>
                <w:rFonts w:ascii="楷体" w:hAnsi="楷体" w:eastAsia="楷体"/>
              </w:rPr>
              <w:t>.</w:t>
            </w:r>
            <w:r>
              <w:rPr>
                <w:rFonts w:hint="eastAsia" w:ascii="楷体" w:hAnsi="楷体" w:eastAsia="楷体"/>
                <w:lang w:val="en-US" w:eastAsia="zh-CN"/>
              </w:rPr>
              <w:t>16</w:t>
            </w:r>
            <w:r>
              <w:rPr>
                <w:rFonts w:hint="eastAsia" w:ascii="楷体" w:hAnsi="楷体" w:eastAsia="楷体"/>
              </w:rPr>
              <w:t>——本次内审编制有《内部管理体系审核报告》，对内审进行了综述和体系运行情况的评价，对纠正措施提出整改的要求。</w:t>
            </w:r>
          </w:p>
          <w:p>
            <w:pPr>
              <w:rPr>
                <w:rFonts w:hint="eastAsia" w:ascii="楷体" w:hAnsi="楷体" w:eastAsia="楷体"/>
                <w:bCs/>
                <w:lang w:eastAsia="zh-CN"/>
              </w:rPr>
            </w:pPr>
            <w:r>
              <w:rPr>
                <w:rFonts w:hint="eastAsia" w:ascii="楷体" w:hAnsi="楷体" w:eastAsia="楷体"/>
              </w:rPr>
              <w:sym w:font="Wingdings 2" w:char="F098"/>
            </w:r>
            <w:r>
              <w:rPr>
                <w:rFonts w:hint="eastAsia" w:ascii="楷体" w:hAnsi="楷体" w:eastAsia="楷体"/>
              </w:rPr>
              <w:t>结论：公司的质量管理体系基本符合标准要求，且适宜、有效</w:t>
            </w:r>
            <w:r>
              <w:rPr>
                <w:rFonts w:hint="eastAsia" w:ascii="楷体" w:hAnsi="楷体" w:eastAsia="楷体"/>
                <w:bCs/>
                <w:lang w:eastAsia="zh-CN"/>
              </w:rPr>
              <w:drawing>
                <wp:inline distT="0" distB="0" distL="114300" distR="114300">
                  <wp:extent cx="3246755" cy="2208530"/>
                  <wp:effectExtent l="0" t="0" r="4445" b="1270"/>
                  <wp:docPr id="3" name="图片 3" descr="d668ff43b146b1ba24129517e376f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68ff43b146b1ba24129517e376f52"/>
                          <pic:cNvPicPr>
                            <a:picLocks noChangeAspect="1"/>
                          </pic:cNvPicPr>
                        </pic:nvPicPr>
                        <pic:blipFill>
                          <a:blip r:embed="rId8"/>
                          <a:stretch>
                            <a:fillRect/>
                          </a:stretch>
                        </pic:blipFill>
                        <pic:spPr>
                          <a:xfrm>
                            <a:off x="0" y="0"/>
                            <a:ext cx="3246755" cy="2208530"/>
                          </a:xfrm>
                          <a:prstGeom prst="rect">
                            <a:avLst/>
                          </a:prstGeom>
                        </pic:spPr>
                      </pic:pic>
                    </a:graphicData>
                  </a:graphic>
                </wp:inline>
              </w:drawing>
            </w:r>
            <w:r>
              <w:rPr>
                <w:rFonts w:hint="eastAsia" w:ascii="楷体" w:hAnsi="楷体" w:eastAsia="楷体"/>
                <w:bCs/>
                <w:lang w:eastAsia="zh-CN"/>
              </w:rPr>
              <w:drawing>
                <wp:inline distT="0" distB="0" distL="114300" distR="114300">
                  <wp:extent cx="3220720" cy="2190750"/>
                  <wp:effectExtent l="0" t="0" r="5080" b="6350"/>
                  <wp:docPr id="4" name="图片 4" descr="ae18d10a2e946c9d9f1db506f44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e18d10a2e946c9d9f1db506f444525"/>
                          <pic:cNvPicPr>
                            <a:picLocks noChangeAspect="1"/>
                          </pic:cNvPicPr>
                        </pic:nvPicPr>
                        <pic:blipFill>
                          <a:blip r:embed="rId9"/>
                          <a:stretch>
                            <a:fillRect/>
                          </a:stretch>
                        </pic:blipFill>
                        <pic:spPr>
                          <a:xfrm>
                            <a:off x="0" y="0"/>
                            <a:ext cx="3220720" cy="2190750"/>
                          </a:xfrm>
                          <a:prstGeom prst="rect">
                            <a:avLst/>
                          </a:prstGeom>
                        </pic:spPr>
                      </pic:pic>
                    </a:graphicData>
                  </a:graphic>
                </wp:inline>
              </w:drawing>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不合格和纠正措施</w:t>
            </w:r>
          </w:p>
        </w:tc>
        <w:tc>
          <w:tcPr>
            <w:tcW w:w="960" w:type="dxa"/>
          </w:tcPr>
          <w:p>
            <w:pPr>
              <w:rPr>
                <w:rFonts w:ascii="楷体" w:hAnsi="楷体" w:eastAsia="楷体"/>
                <w:b/>
                <w:bCs/>
              </w:rPr>
            </w:pPr>
            <w:r>
              <w:rPr>
                <w:rFonts w:hint="eastAsia" w:ascii="楷体" w:hAnsi="楷体" w:eastAsia="楷体"/>
                <w:b/>
                <w:bCs/>
                <w:lang w:val="en-US" w:eastAsia="zh-CN"/>
              </w:rPr>
              <w:t>QEO</w:t>
            </w:r>
            <w:r>
              <w:rPr>
                <w:rFonts w:hint="eastAsia" w:ascii="楷体" w:hAnsi="楷体" w:eastAsia="楷体"/>
                <w:b/>
                <w:bCs/>
              </w:rPr>
              <w:t>10.2</w:t>
            </w:r>
          </w:p>
        </w:tc>
        <w:tc>
          <w:tcPr>
            <w:tcW w:w="10596" w:type="dxa"/>
          </w:tcPr>
          <w:p>
            <w:pPr>
              <w:rPr>
                <w:rFonts w:ascii="楷体" w:hAnsi="楷体" w:eastAsia="楷体"/>
                <w:bCs/>
              </w:rPr>
            </w:pPr>
            <w:r>
              <w:rPr>
                <w:rFonts w:hint="eastAsia" w:ascii="楷体" w:hAnsi="楷体" w:eastAsia="楷体"/>
                <w:bCs/>
                <w:lang w:val="en-US" w:eastAsia="zh-CN"/>
              </w:rPr>
              <w:t>销售部</w:t>
            </w:r>
            <w:r>
              <w:rPr>
                <w:rFonts w:hint="eastAsia" w:ascii="楷体" w:hAnsi="楷体" w:eastAsia="楷体"/>
                <w:bCs/>
              </w:rPr>
              <w:t>查出一项不符合项。</w:t>
            </w:r>
          </w:p>
          <w:p>
            <w:pPr>
              <w:rPr>
                <w:rFonts w:ascii="楷体" w:hAnsi="楷体" w:eastAsia="楷体"/>
                <w:bCs/>
              </w:rPr>
            </w:pPr>
            <w:r>
              <w:rPr>
                <w:rFonts w:hint="eastAsia" w:ascii="楷体" w:hAnsi="楷体" w:eastAsia="楷体"/>
                <w:bCs/>
              </w:rPr>
              <w:t>查</w:t>
            </w:r>
            <w:r>
              <w:rPr>
                <w:rFonts w:hint="eastAsia" w:ascii="楷体" w:hAnsi="楷体" w:eastAsia="楷体"/>
                <w:bCs/>
                <w:lang w:eastAsia="zh-CN"/>
              </w:rPr>
              <w:t>未对人员进行培训后评价</w:t>
            </w:r>
            <w:r>
              <w:rPr>
                <w:rFonts w:hint="eastAsia" w:ascii="楷体" w:hAnsi="楷体" w:eastAsia="楷体"/>
                <w:bCs/>
              </w:rPr>
              <w:t>，不符合GB/T19001-2016标准的</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1.2</w:t>
            </w:r>
            <w:r>
              <w:rPr>
                <w:rFonts w:hint="eastAsia" w:ascii="楷体" w:hAnsi="楷体" w:eastAsia="楷体"/>
                <w:bCs/>
              </w:rPr>
              <w:t xml:space="preserve"> 条款.</w:t>
            </w:r>
          </w:p>
          <w:p>
            <w:pPr>
              <w:rPr>
                <w:rFonts w:ascii="楷体" w:hAnsi="楷体" w:eastAsia="楷体"/>
                <w:bCs/>
              </w:rPr>
            </w:pPr>
            <w:r>
              <w:rPr>
                <w:rFonts w:hint="eastAsia" w:ascii="楷体" w:hAnsi="楷体" w:eastAsia="楷体"/>
                <w:bCs/>
              </w:rPr>
              <w:t>纠正：由管代负责对</w:t>
            </w:r>
            <w:r>
              <w:rPr>
                <w:rFonts w:hint="eastAsia" w:ascii="楷体" w:hAnsi="楷体" w:eastAsia="楷体"/>
                <w:bCs/>
                <w:lang w:val="en-US" w:eastAsia="zh-CN"/>
              </w:rPr>
              <w:t>销售部</w:t>
            </w:r>
            <w:r>
              <w:rPr>
                <w:rFonts w:hint="eastAsia" w:ascii="楷体" w:hAnsi="楷体" w:eastAsia="楷体"/>
                <w:bCs/>
              </w:rPr>
              <w:t>相关人员进行培训。</w:t>
            </w:r>
          </w:p>
          <w:p>
            <w:pPr>
              <w:rPr>
                <w:rFonts w:ascii="楷体" w:hAnsi="楷体" w:eastAsia="楷体"/>
                <w:bCs/>
              </w:rPr>
            </w:pPr>
            <w:r>
              <w:rPr>
                <w:rFonts w:hint="eastAsia" w:ascii="楷体" w:hAnsi="楷体" w:eastAsia="楷体"/>
                <w:bCs/>
              </w:rPr>
              <w:t>纠正措施：由管代负责对</w:t>
            </w:r>
            <w:r>
              <w:rPr>
                <w:rFonts w:hint="eastAsia" w:ascii="楷体" w:hAnsi="楷体" w:eastAsia="楷体"/>
                <w:bCs/>
                <w:lang w:val="en-US" w:eastAsia="zh-CN"/>
              </w:rPr>
              <w:t>销售部</w:t>
            </w:r>
            <w:r>
              <w:rPr>
                <w:rFonts w:hint="eastAsia" w:ascii="楷体" w:hAnsi="楷体" w:eastAsia="楷体"/>
                <w:bCs/>
              </w:rPr>
              <w:t>相关人员进行培训，重点内容标准</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1.2</w:t>
            </w:r>
            <w:r>
              <w:rPr>
                <w:rFonts w:hint="eastAsia" w:ascii="楷体" w:hAnsi="楷体" w:eastAsia="楷体"/>
                <w:bCs/>
              </w:rPr>
              <w:t xml:space="preserve"> 条款及其理解，体系文件相关内容，避免类似问题再次出现。</w:t>
            </w:r>
          </w:p>
          <w:p>
            <w:pPr>
              <w:rPr>
                <w:rFonts w:ascii="楷体" w:hAnsi="楷体" w:eastAsia="楷体"/>
                <w:bCs/>
              </w:rPr>
            </w:pPr>
            <w:r>
              <w:rPr>
                <w:rFonts w:hint="eastAsia" w:ascii="楷体" w:hAnsi="楷体" w:eastAsia="楷体"/>
                <w:bCs/>
              </w:rPr>
              <w:t xml:space="preserve">结论：纠正措施实施有效。  </w:t>
            </w:r>
          </w:p>
        </w:tc>
        <w:tc>
          <w:tcPr>
            <w:tcW w:w="993" w:type="dxa"/>
          </w:tcPr>
          <w:p>
            <w:pPr>
              <w:rPr>
                <w:rFonts w:ascii="楷体" w:hAnsi="楷体" w:eastAsia="楷体"/>
              </w:rPr>
            </w:pPr>
          </w:p>
        </w:tc>
      </w:tr>
    </w:tbl>
    <w:p>
      <w:pPr>
        <w:pStyle w:val="7"/>
      </w:pPr>
      <w:r>
        <w:rPr>
          <w:rFonts w:hint="eastAsia"/>
        </w:rPr>
        <w:t>说明：不符合标注N</w:t>
      </w: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8"/>
      <w:pBdr>
        <w:bottom w:val="none" w:color="auto" w:sz="0" w:space="0"/>
      </w:pBdr>
      <w:spacing w:line="320" w:lineRule="exact"/>
      <w:ind w:firstLine="756" w:firstLineChars="400"/>
      <w:jc w:val="left"/>
    </w:pPr>
    <w:r>
      <w:rPr>
        <w:rStyle w:val="2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12716A12"/>
    <w:rsid w:val="136E38FB"/>
    <w:rsid w:val="179A34E4"/>
    <w:rsid w:val="1A900232"/>
    <w:rsid w:val="208410C9"/>
    <w:rsid w:val="29926A5E"/>
    <w:rsid w:val="327F351A"/>
    <w:rsid w:val="40F16E61"/>
    <w:rsid w:val="4BAF4744"/>
    <w:rsid w:val="55B701B4"/>
    <w:rsid w:val="606B1DE2"/>
    <w:rsid w:val="61B14CD5"/>
    <w:rsid w:val="6E136B2B"/>
    <w:rsid w:val="72DA760F"/>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line="420" w:lineRule="exact"/>
    </w:pPr>
    <w:rPr>
      <w:sz w:val="24"/>
    </w:rPr>
  </w:style>
  <w:style w:type="paragraph" w:styleId="5">
    <w:name w:val="Plain Text"/>
    <w:basedOn w:val="1"/>
    <w:qFormat/>
    <w:uiPriority w:val="0"/>
    <w:rPr>
      <w:rFonts w:ascii="宋体" w:hAnsi="Courier New"/>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rFonts w:hint="eastAsia" w:ascii="微软雅黑" w:hAnsi="微软雅黑" w:eastAsia="微软雅黑" w:cs="微软雅黑"/>
      <w:color w:val="146C88"/>
      <w:sz w:val="24"/>
      <w:szCs w:val="24"/>
      <w:u w:val="none"/>
    </w:rPr>
  </w:style>
  <w:style w:type="character" w:styleId="14">
    <w:name w:val="Emphasis"/>
    <w:basedOn w:val="11"/>
    <w:qFormat/>
    <w:uiPriority w:val="20"/>
    <w:rPr>
      <w:i/>
      <w:iCs/>
    </w:rPr>
  </w:style>
  <w:style w:type="character" w:styleId="15">
    <w:name w:val="HTML Definition"/>
    <w:basedOn w:val="11"/>
    <w:semiHidden/>
    <w:unhideWhenUsed/>
    <w:qFormat/>
    <w:uiPriority w:val="99"/>
  </w:style>
  <w:style w:type="character" w:styleId="16">
    <w:name w:val="HTML Variable"/>
    <w:basedOn w:val="11"/>
    <w:semiHidden/>
    <w:unhideWhenUsed/>
    <w:qFormat/>
    <w:uiPriority w:val="99"/>
    <w:rPr>
      <w:sz w:val="0"/>
      <w:szCs w:val="0"/>
      <w:bdr w:val="single" w:color="CCCCCC" w:sz="2" w:space="0"/>
      <w:shd w:val="clear" w:fill="FFFFFF"/>
    </w:rPr>
  </w:style>
  <w:style w:type="character" w:styleId="17">
    <w:name w:val="Hyperlink"/>
    <w:basedOn w:val="11"/>
    <w:semiHidden/>
    <w:unhideWhenUsed/>
    <w:qFormat/>
    <w:uiPriority w:val="99"/>
    <w:rPr>
      <w:rFonts w:hint="eastAsia" w:ascii="微软雅黑" w:hAnsi="微软雅黑" w:eastAsia="微软雅黑" w:cs="微软雅黑"/>
      <w:color w:val="146C88"/>
      <w:sz w:val="24"/>
      <w:szCs w:val="24"/>
      <w:u w:val="none"/>
    </w:rPr>
  </w:style>
  <w:style w:type="character" w:styleId="18">
    <w:name w:val="HTML Code"/>
    <w:basedOn w:val="11"/>
    <w:semiHidden/>
    <w:unhideWhenUsed/>
    <w:qFormat/>
    <w:uiPriority w:val="99"/>
    <w:rPr>
      <w:rFonts w:hint="default" w:ascii="Courier New" w:hAnsi="Courier New" w:eastAsia="Courier New" w:cs="Courier New"/>
      <w:sz w:val="20"/>
    </w:rPr>
  </w:style>
  <w:style w:type="character" w:styleId="19">
    <w:name w:val="HTML Cite"/>
    <w:basedOn w:val="11"/>
    <w:semiHidden/>
    <w:unhideWhenUsed/>
    <w:qFormat/>
    <w:uiPriority w:val="99"/>
  </w:style>
  <w:style w:type="character" w:styleId="20">
    <w:name w:val="HTML Keyboard"/>
    <w:basedOn w:val="11"/>
    <w:semiHidden/>
    <w:unhideWhenUsed/>
    <w:qFormat/>
    <w:uiPriority w:val="99"/>
    <w:rPr>
      <w:rFonts w:hint="default" w:ascii="Courier New" w:hAnsi="Courier New" w:eastAsia="Courier New" w:cs="Courier New"/>
      <w:sz w:val="20"/>
    </w:rPr>
  </w:style>
  <w:style w:type="character" w:styleId="21">
    <w:name w:val="HTML Sample"/>
    <w:basedOn w:val="11"/>
    <w:semiHidden/>
    <w:unhideWhenUsed/>
    <w:qFormat/>
    <w:uiPriority w:val="99"/>
    <w:rPr>
      <w:rFonts w:ascii="Courier New" w:hAnsi="Courier New" w:eastAsia="Courier New" w:cs="Courier New"/>
    </w:rPr>
  </w:style>
  <w:style w:type="paragraph" w:customStyle="1" w:styleId="22">
    <w:name w:val="表格文字"/>
    <w:basedOn w:val="1"/>
    <w:qFormat/>
    <w:uiPriority w:val="0"/>
    <w:pPr>
      <w:spacing w:before="25" w:after="25"/>
    </w:pPr>
    <w:rPr>
      <w:bCs/>
      <w:spacing w:val="10"/>
    </w:rPr>
  </w:style>
  <w:style w:type="character" w:customStyle="1" w:styleId="23">
    <w:name w:val="页眉 字符"/>
    <w:basedOn w:val="11"/>
    <w:link w:val="8"/>
    <w:qFormat/>
    <w:uiPriority w:val="99"/>
    <w:rPr>
      <w:rFonts w:ascii="Times New Roman" w:hAnsi="Times New Roman" w:eastAsia="宋体" w:cs="Times New Roman"/>
      <w:sz w:val="18"/>
      <w:szCs w:val="18"/>
    </w:rPr>
  </w:style>
  <w:style w:type="character" w:customStyle="1" w:styleId="24">
    <w:name w:val="页脚 字符"/>
    <w:basedOn w:val="11"/>
    <w:link w:val="7"/>
    <w:qFormat/>
    <w:uiPriority w:val="99"/>
    <w:rPr>
      <w:rFonts w:ascii="Times New Roman" w:hAnsi="Times New Roman" w:eastAsia="宋体" w:cs="Times New Roman"/>
      <w:sz w:val="18"/>
      <w:szCs w:val="18"/>
    </w:rPr>
  </w:style>
  <w:style w:type="character" w:customStyle="1" w:styleId="25">
    <w:name w:val="批注框文本 字符"/>
    <w:basedOn w:val="11"/>
    <w:link w:val="6"/>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checked"/>
    <w:basedOn w:val="11"/>
    <w:qFormat/>
    <w:uiPriority w:val="0"/>
    <w:rPr>
      <w:vanish/>
    </w:rPr>
  </w:style>
  <w:style w:type="character" w:customStyle="1" w:styleId="32">
    <w:name w:val="checked1"/>
    <w:basedOn w:val="11"/>
    <w:qFormat/>
    <w:uiPriority w:val="0"/>
  </w:style>
  <w:style w:type="character" w:customStyle="1" w:styleId="33">
    <w:name w:val="ca-nav-next"/>
    <w:basedOn w:val="11"/>
    <w:qFormat/>
    <w:uiPriority w:val="0"/>
  </w:style>
  <w:style w:type="character" w:customStyle="1" w:styleId="34">
    <w:name w:val="button"/>
    <w:basedOn w:val="11"/>
    <w:qFormat/>
    <w:uiPriority w:val="0"/>
  </w:style>
  <w:style w:type="character" w:customStyle="1" w:styleId="35">
    <w:name w:val="last-child"/>
    <w:basedOn w:val="11"/>
    <w:qFormat/>
    <w:uiPriority w:val="0"/>
    <w:rPr>
      <w:color w:val="999999"/>
    </w:rPr>
  </w:style>
  <w:style w:type="character" w:customStyle="1" w:styleId="36">
    <w:name w:val="last-child1"/>
    <w:basedOn w:val="11"/>
    <w:qFormat/>
    <w:uiPriority w:val="0"/>
  </w:style>
  <w:style w:type="character" w:customStyle="1" w:styleId="37">
    <w:name w:val="hover19"/>
    <w:basedOn w:val="11"/>
    <w:qFormat/>
    <w:uiPriority w:val="0"/>
  </w:style>
  <w:style w:type="character" w:customStyle="1" w:styleId="38">
    <w:name w:val="hover20"/>
    <w:basedOn w:val="11"/>
    <w:qFormat/>
    <w:uiPriority w:val="0"/>
    <w:rPr>
      <w:shd w:val="clear" w:fill="F2F2F2"/>
    </w:rPr>
  </w:style>
  <w:style w:type="character" w:customStyle="1" w:styleId="39">
    <w:name w:val="hover21"/>
    <w:basedOn w:val="11"/>
    <w:qFormat/>
    <w:uiPriority w:val="0"/>
    <w:rPr>
      <w:shd w:val="clear" w:fill="F2F2F2"/>
    </w:rPr>
  </w:style>
  <w:style w:type="character" w:customStyle="1" w:styleId="40">
    <w:name w:val="active2"/>
    <w:basedOn w:val="11"/>
    <w:qFormat/>
    <w:uiPriority w:val="0"/>
    <w:rPr>
      <w:shd w:val="clear" w:fill="F2F2F2"/>
    </w:rPr>
  </w:style>
  <w:style w:type="character" w:customStyle="1" w:styleId="41">
    <w:name w:val="tmpztreemove_arrow"/>
    <w:basedOn w:val="11"/>
    <w:qFormat/>
    <w:uiPriority w:val="0"/>
  </w:style>
  <w:style w:type="character" w:customStyle="1" w:styleId="42">
    <w:name w:val="hover"/>
    <w:basedOn w:val="11"/>
    <w:qFormat/>
    <w:uiPriority w:val="0"/>
  </w:style>
  <w:style w:type="character" w:customStyle="1" w:styleId="43">
    <w:name w:val="hover1"/>
    <w:basedOn w:val="11"/>
    <w:qFormat/>
    <w:uiPriority w:val="0"/>
    <w:rPr>
      <w:shd w:val="clear" w:fill="F2F2F2"/>
    </w:rPr>
  </w:style>
  <w:style w:type="character" w:customStyle="1" w:styleId="44">
    <w:name w:val="hover2"/>
    <w:basedOn w:val="11"/>
    <w:qFormat/>
    <w:uiPriority w:val="0"/>
    <w:rPr>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5645</Words>
  <Characters>6073</Characters>
  <Lines>142</Lines>
  <Paragraphs>40</Paragraphs>
  <TotalTime>5</TotalTime>
  <ScaleCrop>false</ScaleCrop>
  <LinksUpToDate>false</LinksUpToDate>
  <CharactersWithSpaces>6289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2022-10-08T06:01:48Z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