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keepLines w:val="0"/>
              <w:pageBreakBefore w:val="0"/>
              <w:kinsoku/>
              <w:wordWrap/>
              <w:topLinePunct w:val="0"/>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keepLines w:val="0"/>
              <w:pageBreakBefore w:val="0"/>
              <w:kinsoku/>
              <w:wordWrap/>
              <w:topLinePunct w:val="0"/>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28" w:type="dxa"/>
            <w:vMerge w:val="restart"/>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涉及</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943" w:type="dxa"/>
            <w:vAlign w:val="center"/>
          </w:tcPr>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受审核部门：管理层</w:t>
            </w:r>
            <w:r>
              <w:rPr>
                <w:rFonts w:hint="eastAsia" w:ascii="宋体" w:hAnsi="宋体" w:cs="宋体"/>
                <w:sz w:val="21"/>
                <w:szCs w:val="21"/>
                <w:lang w:eastAsia="zh-CN"/>
              </w:rPr>
              <w:t>、</w:t>
            </w:r>
            <w:r>
              <w:rPr>
                <w:rFonts w:hint="eastAsia" w:ascii="宋体" w:hAnsi="宋体" w:cs="宋体"/>
                <w:sz w:val="21"/>
                <w:szCs w:val="21"/>
                <w:lang w:val="en-US" w:eastAsia="zh-CN"/>
              </w:rPr>
              <w:t>员工代表</w:t>
            </w:r>
            <w:r>
              <w:rPr>
                <w:rFonts w:hint="eastAsia" w:ascii="宋体" w:hAnsi="宋体" w:eastAsia="宋体" w:cs="宋体"/>
                <w:sz w:val="21"/>
                <w:szCs w:val="21"/>
              </w:rPr>
              <w:t xml:space="preserve">    总经理：</w:t>
            </w:r>
            <w:r>
              <w:rPr>
                <w:rFonts w:hint="eastAsia" w:ascii="宋体" w:hAnsi="宋体" w:cs="宋体"/>
                <w:sz w:val="21"/>
                <w:szCs w:val="21"/>
                <w:lang w:eastAsia="zh-CN"/>
              </w:rPr>
              <w:t>林德标</w:t>
            </w:r>
            <w:r>
              <w:rPr>
                <w:rFonts w:hint="eastAsia" w:ascii="宋体" w:hAnsi="宋体" w:eastAsia="宋体" w:cs="宋体"/>
                <w:sz w:val="21"/>
                <w:szCs w:val="21"/>
              </w:rPr>
              <w:t xml:space="preserve">    管代：</w:t>
            </w:r>
            <w:r>
              <w:rPr>
                <w:rFonts w:hint="eastAsia" w:ascii="Calibri" w:hAnsi="Calibri" w:eastAsia="Calibri" w:cs="Times New Roman"/>
                <w:highlight w:val="none"/>
                <w:lang w:val="en-US" w:eastAsia="zh-CN"/>
              </w:rPr>
              <w:t>许必球  员代：</w:t>
            </w:r>
            <w:r>
              <w:rPr>
                <w:rFonts w:hint="eastAsia"/>
                <w:highlight w:val="none"/>
                <w:lang w:val="en-US" w:eastAsia="zh-CN"/>
              </w:rPr>
              <w:t>高科</w:t>
            </w: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陪同：</w:t>
            </w:r>
            <w:bookmarkStart w:id="0" w:name="联系人"/>
            <w:r>
              <w:rPr>
                <w:sz w:val="21"/>
                <w:szCs w:val="21"/>
              </w:rPr>
              <w:t>高科</w:t>
            </w:r>
            <w:bookmarkEnd w:id="0"/>
          </w:p>
        </w:tc>
        <w:tc>
          <w:tcPr>
            <w:tcW w:w="646" w:type="dxa"/>
            <w:vMerge w:val="restart"/>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keepLines w:val="0"/>
              <w:pageBreakBefore w:val="0"/>
              <w:kinsoku/>
              <w:wordWrap/>
              <w:topLinePunct w:val="0"/>
              <w:bidi w:val="0"/>
              <w:spacing w:line="240" w:lineRule="auto"/>
              <w:rPr>
                <w:rFonts w:hint="eastAsia" w:ascii="宋体" w:hAnsi="宋体" w:eastAsia="宋体" w:cs="宋体"/>
                <w:sz w:val="21"/>
                <w:szCs w:val="21"/>
              </w:rPr>
            </w:pPr>
          </w:p>
        </w:tc>
        <w:tc>
          <w:tcPr>
            <w:tcW w:w="1228" w:type="dxa"/>
            <w:vMerge w:val="continue"/>
            <w:vAlign w:val="center"/>
          </w:tcPr>
          <w:p>
            <w:pPr>
              <w:keepLines w:val="0"/>
              <w:pageBreakBefore w:val="0"/>
              <w:kinsoku/>
              <w:wordWrap/>
              <w:topLinePunct w:val="0"/>
              <w:bidi w:val="0"/>
              <w:spacing w:line="240" w:lineRule="auto"/>
              <w:rPr>
                <w:rFonts w:hint="eastAsia" w:ascii="宋体" w:hAnsi="宋体" w:eastAsia="宋体" w:cs="宋体"/>
                <w:sz w:val="21"/>
                <w:szCs w:val="21"/>
              </w:rPr>
            </w:pPr>
          </w:p>
        </w:tc>
        <w:tc>
          <w:tcPr>
            <w:tcW w:w="10943" w:type="dxa"/>
            <w:vAlign w:val="center"/>
          </w:tcPr>
          <w:p>
            <w:pPr>
              <w:keepLines w:val="0"/>
              <w:pageBreakBefore w:val="0"/>
              <w:kinsoku/>
              <w:wordWrap/>
              <w:topLinePunct w:val="0"/>
              <w:bidi w:val="0"/>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rPr>
              <w:t xml:space="preserve">审核员： </w:t>
            </w:r>
            <w:r>
              <w:rPr>
                <w:rFonts w:hint="eastAsia" w:ascii="宋体" w:hAnsi="宋体" w:eastAsia="宋体" w:cs="宋体"/>
                <w:sz w:val="21"/>
                <w:szCs w:val="21"/>
                <w:lang w:val="en-US" w:eastAsia="zh-CN"/>
              </w:rPr>
              <w:t>余家龙</w:t>
            </w:r>
            <w:r>
              <w:rPr>
                <w:rFonts w:hint="eastAsia" w:ascii="宋体" w:hAnsi="宋体" w:eastAsia="宋体" w:cs="宋体"/>
                <w:sz w:val="21"/>
                <w:szCs w:val="21"/>
              </w:rPr>
              <w:t xml:space="preserve">        审核时间：202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7</w:t>
            </w:r>
            <w:r>
              <w:rPr>
                <w:rFonts w:hint="eastAsia" w:ascii="宋体" w:hAnsi="宋体" w:eastAsia="宋体" w:cs="宋体"/>
                <w:sz w:val="21"/>
                <w:szCs w:val="21"/>
              </w:rPr>
              <w:t>日</w:t>
            </w:r>
            <w:r>
              <w:rPr>
                <w:rFonts w:hint="eastAsia" w:ascii="宋体" w:hAnsi="宋体" w:cs="宋体"/>
                <w:sz w:val="21"/>
                <w:szCs w:val="21"/>
                <w:lang w:val="en-US" w:eastAsia="zh-CN"/>
              </w:rPr>
              <w:t>-18日（远程微信视频沟通）</w:t>
            </w:r>
          </w:p>
        </w:tc>
        <w:tc>
          <w:tcPr>
            <w:tcW w:w="646" w:type="dxa"/>
            <w:vMerge w:val="continue"/>
          </w:tcPr>
          <w:p>
            <w:pPr>
              <w:keepLines w:val="0"/>
              <w:pageBreakBefore w:val="0"/>
              <w:kinsoku/>
              <w:wordWrap/>
              <w:topLinePunct w:val="0"/>
              <w:bidi w:val="0"/>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keepLines w:val="0"/>
              <w:pageBreakBefore w:val="0"/>
              <w:kinsoku/>
              <w:wordWrap/>
              <w:topLinePunct w:val="0"/>
              <w:bidi w:val="0"/>
              <w:spacing w:line="240" w:lineRule="auto"/>
              <w:rPr>
                <w:rFonts w:hint="eastAsia" w:ascii="宋体" w:hAnsi="宋体" w:eastAsia="宋体" w:cs="宋体"/>
                <w:sz w:val="21"/>
                <w:szCs w:val="21"/>
              </w:rPr>
            </w:pPr>
          </w:p>
        </w:tc>
        <w:tc>
          <w:tcPr>
            <w:tcW w:w="1228" w:type="dxa"/>
            <w:vMerge w:val="continue"/>
            <w:vAlign w:val="center"/>
          </w:tcPr>
          <w:p>
            <w:pPr>
              <w:keepLines w:val="0"/>
              <w:pageBreakBefore w:val="0"/>
              <w:kinsoku/>
              <w:wordWrap/>
              <w:topLinePunct w:val="0"/>
              <w:bidi w:val="0"/>
              <w:spacing w:line="240" w:lineRule="auto"/>
              <w:rPr>
                <w:rFonts w:hint="eastAsia" w:ascii="宋体" w:hAnsi="宋体" w:eastAsia="宋体" w:cs="宋体"/>
                <w:sz w:val="21"/>
                <w:szCs w:val="21"/>
              </w:rPr>
            </w:pPr>
          </w:p>
        </w:tc>
        <w:tc>
          <w:tcPr>
            <w:tcW w:w="10943" w:type="dxa"/>
            <w:vAlign w:val="center"/>
          </w:tcPr>
          <w:p>
            <w:pPr>
              <w:adjustRightInd w:val="0"/>
              <w:snapToGrid w:val="0"/>
              <w:spacing w:line="240" w:lineRule="auto"/>
              <w:ind w:right="105" w:rightChars="50"/>
              <w:textAlignment w:val="baseline"/>
              <w:rPr>
                <w:rFonts w:ascii="宋体" w:hAnsi="宋体" w:cs="Arial"/>
                <w:spacing w:val="-6"/>
                <w:sz w:val="21"/>
                <w:szCs w:val="21"/>
              </w:rPr>
            </w:pPr>
            <w:r>
              <w:rPr>
                <w:rFonts w:hint="eastAsia" w:ascii="宋体" w:hAnsi="宋体" w:eastAsia="宋体" w:cs="宋体"/>
                <w:sz w:val="21"/>
                <w:szCs w:val="21"/>
              </w:rPr>
              <w:t>审核过程：</w:t>
            </w:r>
            <w:r>
              <w:rPr>
                <w:rFonts w:hint="eastAsia" w:ascii="宋体" w:hAnsi="宋体" w:cs="Arial"/>
                <w:spacing w:val="-6"/>
                <w:sz w:val="21"/>
                <w:szCs w:val="21"/>
              </w:rPr>
              <w:t>OHMS:4.1理解组织及其环境、4.2理解相关方的需求和期望、4.3 确定管理体系的范围、4.4</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w:t>
            </w:r>
            <w:r>
              <w:rPr>
                <w:rFonts w:hint="eastAsia" w:ascii="宋体" w:hAnsi="宋体" w:cs="Arial"/>
                <w:sz w:val="21"/>
                <w:szCs w:val="21"/>
              </w:rPr>
              <w:t>职业健康</w:t>
            </w:r>
            <w:r>
              <w:rPr>
                <w:rFonts w:hint="eastAsia" w:ascii="宋体" w:hAnsi="宋体" w:cs="Arial"/>
                <w:spacing w:val="-6"/>
                <w:sz w:val="21"/>
                <w:szCs w:val="21"/>
              </w:rPr>
              <w:t>安全方针、5.3组织的岗位、职责和权限、5.4协商与参与、6.1应对风险和机遇的措施、6.2</w:t>
            </w:r>
            <w:r>
              <w:rPr>
                <w:rFonts w:hint="eastAsia" w:ascii="宋体" w:hAnsi="宋体" w:cs="Arial"/>
                <w:sz w:val="21"/>
                <w:szCs w:val="21"/>
              </w:rPr>
              <w:t>职业健康</w:t>
            </w:r>
            <w:r>
              <w:rPr>
                <w:rFonts w:hint="eastAsia" w:ascii="宋体" w:hAnsi="宋体" w:cs="Arial"/>
                <w:spacing w:val="-6"/>
                <w:sz w:val="21"/>
                <w:szCs w:val="21"/>
              </w:rPr>
              <w:t>安全目标及其实现的策划、7.1资源总则、7.4沟通/信息交流、9.3管理评审、10.1改进、10.3持续改进，</w:t>
            </w:r>
          </w:p>
          <w:p>
            <w:pPr>
              <w:adjustRightInd w:val="0"/>
              <w:snapToGrid w:val="0"/>
              <w:spacing w:line="240" w:lineRule="auto"/>
              <w:ind w:right="105" w:rightChars="50"/>
              <w:textAlignment w:val="baseline"/>
              <w:rPr>
                <w:rFonts w:ascii="宋体" w:hAnsi="宋体" w:cs="Arial"/>
                <w:spacing w:val="-6"/>
                <w:sz w:val="21"/>
                <w:szCs w:val="21"/>
              </w:rPr>
            </w:pPr>
            <w:r>
              <w:rPr>
                <w:rFonts w:hint="eastAsia" w:ascii="宋体" w:hAnsi="宋体" w:cs="Arial"/>
                <w:spacing w:val="-6"/>
                <w:sz w:val="21"/>
                <w:szCs w:val="21"/>
              </w:rPr>
              <w:t>职业健康安全财务支出；</w:t>
            </w:r>
          </w:p>
          <w:p>
            <w:pPr>
              <w:keepLines w:val="0"/>
              <w:pageBreakBefore w:val="0"/>
              <w:tabs>
                <w:tab w:val="left" w:pos="709"/>
              </w:tabs>
              <w:kinsoku/>
              <w:wordWrap/>
              <w:topLinePunct w:val="0"/>
              <w:bidi w:val="0"/>
              <w:spacing w:line="240" w:lineRule="auto"/>
              <w:ind w:right="57"/>
              <w:rPr>
                <w:rFonts w:hint="eastAsia" w:ascii="宋体" w:hAnsi="宋体" w:eastAsia="宋体" w:cs="宋体"/>
                <w:sz w:val="21"/>
                <w:szCs w:val="21"/>
              </w:rPr>
            </w:pPr>
            <w:r>
              <w:rPr>
                <w:rFonts w:hint="eastAsia" w:ascii="宋体" w:hAnsi="宋体" w:cs="Arial"/>
                <w:spacing w:val="-6"/>
                <w:sz w:val="21"/>
                <w:szCs w:val="21"/>
              </w:rPr>
              <w:t>国家/地方监督抽查情况；顾客满意、相关方投诉及处理情况；一阶段问题验证，验证企业相关资质证明的有效性；</w:t>
            </w:r>
          </w:p>
        </w:tc>
        <w:tc>
          <w:tcPr>
            <w:tcW w:w="646" w:type="dxa"/>
            <w:vMerge w:val="continue"/>
          </w:tcPr>
          <w:p>
            <w:pPr>
              <w:keepLines w:val="0"/>
              <w:pageBreakBefore w:val="0"/>
              <w:kinsoku/>
              <w:wordWrap/>
              <w:topLinePunct w:val="0"/>
              <w:bidi w:val="0"/>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理解组织及其环境</w:t>
            </w:r>
          </w:p>
          <w:p>
            <w:pPr>
              <w:keepLines w:val="0"/>
              <w:pageBreakBefore w:val="0"/>
              <w:kinsoku/>
              <w:wordWrap/>
              <w:topLinePunct w:val="0"/>
              <w:bidi w:val="0"/>
              <w:spacing w:line="240" w:lineRule="auto"/>
              <w:rPr>
                <w:rFonts w:hint="eastAsia" w:ascii="宋体" w:hAnsi="宋体" w:eastAsia="宋体" w:cs="宋体"/>
                <w:sz w:val="21"/>
                <w:szCs w:val="21"/>
              </w:rPr>
            </w:pP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：4.1</w:t>
            </w:r>
          </w:p>
          <w:p>
            <w:pPr>
              <w:keepLines w:val="0"/>
              <w:pageBreakBefore w:val="0"/>
              <w:kinsoku/>
              <w:wordWrap/>
              <w:topLinePunct w:val="0"/>
              <w:bidi w:val="0"/>
              <w:spacing w:line="240" w:lineRule="auto"/>
              <w:rPr>
                <w:rFonts w:hint="eastAsia" w:ascii="宋体" w:hAnsi="宋体" w:eastAsia="宋体" w:cs="宋体"/>
                <w:sz w:val="21"/>
                <w:szCs w:val="21"/>
              </w:rPr>
            </w:pPr>
          </w:p>
        </w:tc>
        <w:tc>
          <w:tcPr>
            <w:tcW w:w="10943" w:type="dxa"/>
            <w:vAlign w:val="center"/>
          </w:tcPr>
          <w:p>
            <w:pPr>
              <w:keepLines w:val="0"/>
              <w:pageBreakBefore w:val="0"/>
              <w:kinsoku/>
              <w:wordWrap/>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成立于2021年6月3日，现建有钢结构标准化厂房，包括原材料车间、精料车间、熔铸车间、机加工车间、成品存储库，企业办公区域楼、循环水池等配套设施。专业生产制造大型机械底盘、锻造件、铸造件、各种法兰等产品，拥有国内先进铸造(离心铸造、失蜡精密铸造、砂型铸造）铆焊和精加工（车、刨、铣、镗）设备生产线。</w:t>
            </w:r>
          </w:p>
          <w:p>
            <w:pPr>
              <w:pStyle w:val="18"/>
              <w:keepLines w:val="0"/>
              <w:pageBreakBefore w:val="0"/>
              <w:kinsoku/>
              <w:wordWrap/>
              <w:topLinePunct w:val="0"/>
              <w:bidi w:val="0"/>
              <w:spacing w:before="0" w:after="0" w:line="240" w:lineRule="auto"/>
              <w:ind w:firstLine="460" w:firstLineChars="200"/>
              <w:rPr>
                <w:rFonts w:hint="eastAsia" w:ascii="宋体" w:hAnsi="宋体" w:eastAsia="宋体" w:cs="宋体"/>
                <w:sz w:val="21"/>
                <w:szCs w:val="21"/>
              </w:rPr>
            </w:pPr>
            <w:r>
              <w:rPr>
                <w:rFonts w:hint="eastAsia" w:ascii="宋体" w:hAnsi="宋体" w:eastAsia="宋体" w:cs="宋体"/>
                <w:sz w:val="21"/>
                <w:szCs w:val="21"/>
              </w:rPr>
              <w:t>公司总经理：</w:t>
            </w:r>
            <w:r>
              <w:rPr>
                <w:rFonts w:hint="eastAsia" w:ascii="宋体" w:hAnsi="宋体" w:cs="宋体"/>
                <w:sz w:val="21"/>
                <w:szCs w:val="21"/>
                <w:lang w:eastAsia="zh-CN"/>
              </w:rPr>
              <w:t>林德标</w:t>
            </w:r>
            <w:r>
              <w:rPr>
                <w:rFonts w:hint="eastAsia" w:ascii="宋体" w:hAnsi="宋体" w:eastAsia="宋体" w:cs="宋体"/>
                <w:sz w:val="21"/>
                <w:szCs w:val="21"/>
              </w:rPr>
              <w:t>。</w:t>
            </w:r>
          </w:p>
          <w:p>
            <w:pPr>
              <w:keepLines w:val="0"/>
              <w:pageBreakBefore w:val="0"/>
              <w:kinsoku/>
              <w:wordWrap/>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提供《管理手册》，对公司地理位置、国内市场地位、法律法规要求、公司内部文化观价值观、内外部环境变化等均作出描述。</w:t>
            </w:r>
          </w:p>
          <w:p>
            <w:pPr>
              <w:keepLines w:val="0"/>
              <w:pageBreakBefore w:val="0"/>
              <w:kinsoku/>
              <w:wordWrap/>
              <w:topLinePunct w:val="0"/>
              <w:bidi w:val="0"/>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公司管理体系设置了</w:t>
            </w:r>
            <w:r>
              <w:rPr>
                <w:rFonts w:hint="eastAsia" w:ascii="宋体" w:hAnsi="宋体" w:cs="宋体"/>
                <w:color w:val="000000"/>
                <w:sz w:val="21"/>
                <w:szCs w:val="21"/>
                <w:lang w:val="en-US" w:eastAsia="zh-CN"/>
              </w:rPr>
              <w:t>综合办公室、供销部、生产部</w:t>
            </w:r>
            <w:r>
              <w:rPr>
                <w:rFonts w:hint="eastAsia" w:ascii="宋体" w:hAnsi="宋体" w:eastAsia="宋体" w:cs="宋体"/>
                <w:color w:val="000000"/>
                <w:sz w:val="21"/>
                <w:szCs w:val="21"/>
              </w:rPr>
              <w:t>。</w:t>
            </w:r>
          </w:p>
          <w:p>
            <w:pPr>
              <w:keepLines w:val="0"/>
              <w:pageBreakBefore w:val="0"/>
              <w:kinsoku/>
              <w:wordWrap/>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介绍</w:t>
            </w:r>
            <w:r>
              <w:rPr>
                <w:rFonts w:hint="eastAsia" w:ascii="宋体" w:hAnsi="宋体" w:eastAsia="宋体" w:cs="宋体"/>
                <w:sz w:val="21"/>
                <w:szCs w:val="21"/>
              </w:rPr>
              <w:t>：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理解相关方的需求和期望</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：4.2</w:t>
            </w:r>
          </w:p>
        </w:tc>
        <w:tc>
          <w:tcPr>
            <w:tcW w:w="10943"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提供了《组织的相关方需求和期望调查表》，相关方包括顾客、供方、员工、政府部门、审核机构、股东等。相关方需求和期望：检测能力符合顾客要求、及时交货、价格合理；合作双赢、进料合格率、</w:t>
            </w:r>
            <w:r>
              <w:rPr>
                <w:rFonts w:hint="eastAsia" w:ascii="宋体" w:hAnsi="宋体" w:cs="宋体"/>
                <w:sz w:val="21"/>
                <w:szCs w:val="21"/>
                <w:lang w:val="en-US" w:eastAsia="zh-CN"/>
              </w:rPr>
              <w:t>产品质量</w:t>
            </w:r>
            <w:r>
              <w:rPr>
                <w:rFonts w:hint="eastAsia" w:ascii="宋体" w:hAnsi="宋体" w:eastAsia="宋体" w:cs="宋体"/>
                <w:sz w:val="21"/>
                <w:szCs w:val="21"/>
              </w:rPr>
              <w:t>、及时付款；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ascii="宋体" w:hAnsi="宋体" w:eastAsia="宋体" w:cs="宋体"/>
                <w:sz w:val="21"/>
                <w:szCs w:val="21"/>
                <w:lang w:val="zh-CN"/>
              </w:rPr>
              <w:t>。</w:t>
            </w:r>
            <w:r>
              <w:rPr>
                <w:rFonts w:hint="eastAsia" w:ascii="宋体" w:hAnsi="宋体" w:eastAsia="宋体" w:cs="宋体"/>
                <w:sz w:val="21"/>
                <w:szCs w:val="21"/>
              </w:rPr>
              <w:t>公司对这些相关方及其要求的相关信息进行制定责任部门制定每年进行一次评审，以便于理解和持续满足相关方的需求和期望。</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本公司考虑以下相关方：--顾客；--最终用户或受益人；股东；---外部供应商；--雇员及其他为组织工作者；--法律法规及监管机关；--地方社区团体；--非政府组织等。</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目前顾客的主要需求期望是：提供顾客满意的生产产品和服务。</w:t>
            </w:r>
          </w:p>
        </w:tc>
        <w:tc>
          <w:tcPr>
            <w:tcW w:w="646" w:type="dxa"/>
          </w:tcPr>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质量管理体系的范围</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：4.3</w:t>
            </w:r>
          </w:p>
        </w:tc>
        <w:tc>
          <w:tcPr>
            <w:tcW w:w="10943" w:type="dxa"/>
            <w:vAlign w:val="center"/>
          </w:tcPr>
          <w:p>
            <w:pPr>
              <w:keepLines w:val="0"/>
              <w:pageBreakBefore w:val="0"/>
              <w:kinsoku/>
              <w:wordWrap/>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经确认企业的管理体系范围是：</w:t>
            </w:r>
          </w:p>
          <w:p>
            <w:pPr>
              <w:keepLines w:val="0"/>
              <w:pageBreakBefore w:val="0"/>
              <w:kinsoku/>
              <w:wordWrap/>
              <w:topLinePunct w:val="0"/>
              <w:bidi w:val="0"/>
              <w:spacing w:line="240" w:lineRule="auto"/>
              <w:rPr>
                <w:rFonts w:hint="eastAsia" w:ascii="宋体" w:hAnsi="宋体" w:eastAsia="宋体" w:cs="宋体"/>
                <w:sz w:val="21"/>
                <w:szCs w:val="21"/>
                <w:lang w:eastAsia="zh-CN"/>
              </w:rPr>
            </w:pPr>
            <w:bookmarkStart w:id="1" w:name="审核范围"/>
            <w:r>
              <w:rPr>
                <w:rFonts w:hint="eastAsia" w:ascii="宋体" w:hAnsi="宋体" w:eastAsia="宋体" w:cs="宋体"/>
                <w:sz w:val="21"/>
                <w:szCs w:val="21"/>
              </w:rPr>
              <w:t>O：</w:t>
            </w:r>
            <w:bookmarkEnd w:id="1"/>
            <w:r>
              <w:rPr>
                <w:rFonts w:hint="eastAsia" w:ascii="宋体" w:hAnsi="宋体" w:cs="宋体"/>
                <w:sz w:val="21"/>
                <w:szCs w:val="21"/>
                <w:lang w:eastAsia="zh-CN"/>
              </w:rPr>
              <w:t>铸造件、锻造件、法兰件的生产所涉及场所的相关职业健康安全管理活动</w:t>
            </w:r>
          </w:p>
          <w:p>
            <w:pPr>
              <w:pStyle w:val="4"/>
              <w:keepLines w:val="0"/>
              <w:pageBreakBefore w:val="0"/>
              <w:kinsoku/>
              <w:wordWrap/>
              <w:topLinePunct w:val="0"/>
              <w:bidi w:val="0"/>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kern w:val="2"/>
                <w:sz w:val="21"/>
                <w:szCs w:val="21"/>
              </w:rPr>
              <w:t>外包情况：无。</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：4.4</w:t>
            </w: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管理体系监视、测量、分析、改进的职责权限分配等策划，同时考虑了内外部因素和相关方的要求，确定了需应对的风险和机遇。</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公司文件适宜，符合公司规模、人员能力、过程及其相互作用的复杂程度。基本符合标准要求。</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公司确保按照标准的要求，建立、实施、保持和持续改进管理体系，包括所需过程及其相互作用。公司确定管理体系所需的过程及其在整个组织中的应用。</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领导作用与承诺</w:t>
            </w:r>
          </w:p>
          <w:p>
            <w:pPr>
              <w:keepLines w:val="0"/>
              <w:pageBreakBefore w:val="0"/>
              <w:kinsoku/>
              <w:wordWrap/>
              <w:topLinePunct w:val="0"/>
              <w:bidi w:val="0"/>
              <w:spacing w:line="240" w:lineRule="auto"/>
              <w:rPr>
                <w:rFonts w:hint="eastAsia" w:ascii="宋体" w:hAnsi="宋体" w:eastAsia="宋体" w:cs="宋体"/>
                <w:sz w:val="21"/>
                <w:szCs w:val="21"/>
              </w:rPr>
            </w:pP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：5.1</w:t>
            </w: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通过管理评审、内部审核及有效实施纠正、改进措施等方法来有效完善和持续发展公司的管理体系。公司总经理是</w:t>
            </w:r>
            <w:r>
              <w:rPr>
                <w:rFonts w:hint="eastAsia" w:ascii="宋体" w:hAnsi="宋体" w:cs="宋体"/>
                <w:sz w:val="21"/>
                <w:szCs w:val="21"/>
                <w:lang w:eastAsia="zh-CN"/>
              </w:rPr>
              <w:t>林德标</w:t>
            </w:r>
            <w:r>
              <w:rPr>
                <w:rFonts w:hint="eastAsia" w:ascii="宋体" w:hAnsi="宋体" w:eastAsia="宋体" w:cs="宋体"/>
                <w:sz w:val="21"/>
                <w:szCs w:val="21"/>
              </w:rPr>
              <w:t>，主要承诺有：</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1)对公司的</w:t>
            </w:r>
            <w:r>
              <w:rPr>
                <w:rFonts w:hint="eastAsia" w:ascii="宋体" w:hAnsi="宋体" w:cs="宋体"/>
                <w:sz w:val="21"/>
                <w:szCs w:val="21"/>
                <w:lang w:eastAsia="zh-CN"/>
              </w:rPr>
              <w:t>管理体系</w:t>
            </w:r>
            <w:r>
              <w:rPr>
                <w:rFonts w:hint="eastAsia" w:ascii="宋体" w:hAnsi="宋体" w:eastAsia="宋体" w:cs="宋体"/>
                <w:sz w:val="21"/>
                <w:szCs w:val="21"/>
              </w:rPr>
              <w:t>的有效性承担责任；</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2)确保公司管理方针和目标的建立,并确保其与公司的战略方向及所处的环境相一致；</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3)确保公司</w:t>
            </w:r>
            <w:r>
              <w:rPr>
                <w:rFonts w:hint="eastAsia" w:ascii="宋体" w:hAnsi="宋体" w:cs="宋体"/>
                <w:sz w:val="21"/>
                <w:szCs w:val="21"/>
                <w:lang w:eastAsia="zh-CN"/>
              </w:rPr>
              <w:t>管理体系</w:t>
            </w:r>
            <w:r>
              <w:rPr>
                <w:rFonts w:hint="eastAsia" w:ascii="宋体" w:hAnsi="宋体" w:eastAsia="宋体" w:cs="宋体"/>
                <w:sz w:val="21"/>
                <w:szCs w:val="21"/>
              </w:rPr>
              <w:t>要求融入到公司的各种</w:t>
            </w:r>
            <w:r>
              <w:rPr>
                <w:rFonts w:hint="eastAsia" w:ascii="宋体" w:hAnsi="宋体" w:cs="宋体"/>
                <w:sz w:val="21"/>
                <w:szCs w:val="21"/>
                <w:lang w:val="en-US" w:eastAsia="zh-CN"/>
              </w:rPr>
              <w:t>生产</w:t>
            </w:r>
            <w:r>
              <w:rPr>
                <w:rFonts w:hint="eastAsia" w:ascii="宋体" w:hAnsi="宋体" w:eastAsia="宋体" w:cs="宋体"/>
                <w:sz w:val="21"/>
                <w:szCs w:val="21"/>
              </w:rPr>
              <w:t>过程；</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4)确保获得公司</w:t>
            </w:r>
            <w:r>
              <w:rPr>
                <w:rFonts w:hint="eastAsia" w:ascii="宋体" w:hAnsi="宋体" w:cs="宋体"/>
                <w:sz w:val="21"/>
                <w:szCs w:val="21"/>
                <w:lang w:eastAsia="zh-CN"/>
              </w:rPr>
              <w:t>管理体系</w:t>
            </w:r>
            <w:r>
              <w:rPr>
                <w:rFonts w:hint="eastAsia" w:ascii="宋体" w:hAnsi="宋体" w:eastAsia="宋体" w:cs="宋体"/>
                <w:sz w:val="21"/>
                <w:szCs w:val="21"/>
              </w:rPr>
              <w:t>所需的资源；</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5)就有效的管理重要性和符合其管理体系要求的重要性进行沟通；</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6)确保公司的</w:t>
            </w:r>
            <w:r>
              <w:rPr>
                <w:rFonts w:hint="eastAsia" w:ascii="宋体" w:hAnsi="宋体" w:cs="宋体"/>
                <w:sz w:val="21"/>
                <w:szCs w:val="21"/>
                <w:lang w:eastAsia="zh-CN"/>
              </w:rPr>
              <w:t>管理体系</w:t>
            </w:r>
            <w:r>
              <w:rPr>
                <w:rFonts w:hint="eastAsia" w:ascii="宋体" w:hAnsi="宋体" w:eastAsia="宋体" w:cs="宋体"/>
                <w:sz w:val="21"/>
                <w:szCs w:val="21"/>
              </w:rPr>
              <w:t>使用过程方法和基于风险的思维；</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7)确保公司</w:t>
            </w:r>
            <w:r>
              <w:rPr>
                <w:rFonts w:hint="eastAsia" w:ascii="宋体" w:hAnsi="宋体" w:cs="宋体"/>
                <w:sz w:val="21"/>
                <w:szCs w:val="21"/>
                <w:lang w:eastAsia="zh-CN"/>
              </w:rPr>
              <w:t>管理体系</w:t>
            </w:r>
            <w:r>
              <w:rPr>
                <w:rFonts w:hint="eastAsia" w:ascii="宋体" w:hAnsi="宋体" w:eastAsia="宋体" w:cs="宋体"/>
                <w:sz w:val="21"/>
                <w:szCs w:val="21"/>
              </w:rPr>
              <w:t>的预期结果；</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8)促使、指导和支持员工努力提高管理体系的有效性，并对管理体系的有效性做出贡献；</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9)推动</w:t>
            </w:r>
            <w:r>
              <w:rPr>
                <w:rFonts w:hint="eastAsia" w:ascii="宋体" w:hAnsi="宋体" w:cs="宋体"/>
                <w:sz w:val="21"/>
                <w:szCs w:val="21"/>
                <w:lang w:eastAsia="zh-CN"/>
              </w:rPr>
              <w:t>管理体系</w:t>
            </w:r>
            <w:r>
              <w:rPr>
                <w:rFonts w:hint="eastAsia" w:ascii="宋体" w:hAnsi="宋体" w:eastAsia="宋体" w:cs="宋体"/>
                <w:sz w:val="21"/>
                <w:szCs w:val="21"/>
              </w:rPr>
              <w:t>的改进；</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10)支持其他管理者履行其相关领域的职责。</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2" w:type="dxa"/>
            <w:vAlign w:val="center"/>
          </w:tcPr>
          <w:p>
            <w:pPr>
              <w:keepLines w:val="0"/>
              <w:pageBreakBefore w:val="0"/>
              <w:kinsoku/>
              <w:wordWrap/>
              <w:topLinePunct w:val="0"/>
              <w:bidi w:val="0"/>
              <w:spacing w:line="240" w:lineRule="auto"/>
              <w:jc w:val="center"/>
              <w:rPr>
                <w:rFonts w:hint="eastAsia" w:ascii="宋体" w:hAnsi="宋体" w:eastAsia="宋体" w:cs="宋体"/>
                <w:sz w:val="21"/>
                <w:szCs w:val="21"/>
              </w:rPr>
            </w:pPr>
            <w:r>
              <w:rPr>
                <w:rFonts w:hint="eastAsia" w:ascii="宋体" w:hAnsi="宋体" w:cs="Arial"/>
                <w:sz w:val="21"/>
                <w:szCs w:val="21"/>
              </w:rPr>
              <w:t>职业健康</w:t>
            </w:r>
            <w:r>
              <w:rPr>
                <w:rFonts w:hint="eastAsia" w:ascii="宋体" w:hAnsi="宋体" w:cs="Arial"/>
                <w:spacing w:val="-6"/>
                <w:sz w:val="21"/>
                <w:szCs w:val="21"/>
              </w:rPr>
              <w:t>安全方针</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：5.2</w:t>
            </w:r>
          </w:p>
        </w:tc>
        <w:tc>
          <w:tcPr>
            <w:tcW w:w="10943" w:type="dxa"/>
            <w:vAlign w:val="center"/>
          </w:tcPr>
          <w:p>
            <w:pPr>
              <w:pStyle w:val="6"/>
              <w:keepLines w:val="0"/>
              <w:pageBreakBefore w:val="0"/>
              <w:tabs>
                <w:tab w:val="left" w:pos="0"/>
                <w:tab w:val="left" w:pos="180"/>
              </w:tabs>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公司的管理方针：</w:t>
            </w:r>
          </w:p>
          <w:p>
            <w:pPr>
              <w:keepLines w:val="0"/>
              <w:pageBreakBefore w:val="0"/>
              <w:kinsoku/>
              <w:wordWrap/>
              <w:topLinePunct w:val="0"/>
              <w:bidi w:val="0"/>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 xml:space="preserve">      科学管理，诚信产品，顾客满意；</w:t>
            </w:r>
          </w:p>
          <w:p>
            <w:pPr>
              <w:keepLines w:val="0"/>
              <w:pageBreakBefore w:val="0"/>
              <w:kinsoku/>
              <w:wordWrap/>
              <w:topLinePunct w:val="0"/>
              <w:bidi w:val="0"/>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 xml:space="preserve">      环保领先，节能降耗，预防污染；</w:t>
            </w:r>
          </w:p>
          <w:p>
            <w:pPr>
              <w:keepLines w:val="0"/>
              <w:pageBreakBefore w:val="0"/>
              <w:kinsoku/>
              <w:wordWrap/>
              <w:topLinePunct w:val="0"/>
              <w:bidi w:val="0"/>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 xml:space="preserve">        以人为本，减少风险，保障健康；</w:t>
            </w:r>
          </w:p>
          <w:p>
            <w:pPr>
              <w:keepLines w:val="0"/>
              <w:pageBreakBefore w:val="0"/>
              <w:kinsoku/>
              <w:wordWrap/>
              <w:topLinePunct w:val="0"/>
              <w:bidi w:val="0"/>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 xml:space="preserve">        遵守法纪，全员参与，持续改进。</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公司以职业健康安全标准为基础，结合公司实际特制定管理方针。与</w:t>
            </w:r>
            <w:r>
              <w:rPr>
                <w:rFonts w:hint="eastAsia" w:ascii="宋体" w:hAnsi="宋体" w:cs="宋体"/>
                <w:sz w:val="21"/>
                <w:szCs w:val="21"/>
                <w:lang w:eastAsia="zh-CN"/>
              </w:rPr>
              <w:t>林德标</w:t>
            </w:r>
            <w:r>
              <w:rPr>
                <w:rFonts w:hint="eastAsia" w:ascii="宋体" w:hAnsi="宋体" w:eastAsia="宋体" w:cs="宋体"/>
                <w:sz w:val="21"/>
                <w:szCs w:val="21"/>
              </w:rPr>
              <w:t>进行交谈，对方针内涵的理解较深刻。方针能为制定目标提供框架，方针基本符合标准的要求。</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eastAsia="zh-CN"/>
              </w:rPr>
              <w:t>林德标</w:t>
            </w:r>
            <w:r>
              <w:rPr>
                <w:rFonts w:hint="eastAsia" w:ascii="宋体" w:hAnsi="宋体" w:eastAsia="宋体" w:cs="宋体"/>
                <w:sz w:val="21"/>
                <w:szCs w:val="21"/>
              </w:rPr>
              <w:t>用会议、文件等手段保证管理方针为全体员工理解并落实到工作中。总经理</w:t>
            </w:r>
            <w:r>
              <w:rPr>
                <w:rFonts w:hint="eastAsia" w:ascii="宋体" w:hAnsi="宋体" w:cs="宋体"/>
                <w:sz w:val="21"/>
                <w:szCs w:val="21"/>
                <w:lang w:eastAsia="zh-CN"/>
              </w:rPr>
              <w:t>林德标</w:t>
            </w:r>
            <w:r>
              <w:rPr>
                <w:rFonts w:hint="eastAsia" w:ascii="宋体" w:hAnsi="宋体" w:eastAsia="宋体" w:cs="宋体"/>
                <w:sz w:val="21"/>
                <w:szCs w:val="21"/>
              </w:rPr>
              <w:t>说管理评审时对方针的持续适宜性进行了评审，有评审记录。</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以上管理方针通过文件、培训等形式将公司管理方针传达给所有为公司工作或代表公司的人员，相关方也可通过办公室获取公司管理方针。</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p>
            <w:pPr>
              <w:keepLines w:val="0"/>
              <w:pageBreakBefore w:val="0"/>
              <w:kinsoku/>
              <w:wordWrap/>
              <w:topLinePunct w:val="0"/>
              <w:bidi w:val="0"/>
              <w:spacing w:line="240" w:lineRule="auto"/>
              <w:jc w:val="center"/>
              <w:rPr>
                <w:rFonts w:hint="eastAsia" w:ascii="宋体" w:hAnsi="宋体" w:eastAsia="宋体" w:cs="宋体"/>
                <w:sz w:val="21"/>
                <w:szCs w:val="21"/>
              </w:rPr>
            </w:pP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：5.3</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公司确定了公司机构并规定了各岗位人员职责、权限和相互关系，并在公司内对各级员工进行了必要的传达。对从事与</w:t>
            </w:r>
            <w:r>
              <w:rPr>
                <w:rFonts w:hint="eastAsia" w:ascii="宋体" w:hAnsi="宋体" w:cs="宋体"/>
                <w:sz w:val="21"/>
                <w:szCs w:val="21"/>
                <w:lang w:val="en-US" w:eastAsia="zh-CN"/>
              </w:rPr>
              <w:t>生产</w:t>
            </w:r>
            <w:r>
              <w:rPr>
                <w:rFonts w:hint="eastAsia" w:ascii="宋体" w:hAnsi="宋体" w:eastAsia="宋体" w:cs="宋体"/>
                <w:sz w:val="21"/>
                <w:szCs w:val="21"/>
              </w:rPr>
              <w:t>有关的管理、执行和验证人员规定其职责、权限及其相互关系，以实现公司管理方针和管理目标。建立、实施和保持公司管理体系所需的过程，公司决定任命</w:t>
            </w:r>
            <w:r>
              <w:rPr>
                <w:rFonts w:hint="eastAsia" w:ascii="宋体" w:hAnsi="宋体" w:cs="宋体"/>
                <w:sz w:val="21"/>
                <w:szCs w:val="21"/>
                <w:lang w:eastAsia="zh-CN"/>
              </w:rPr>
              <w:t>许必球</w:t>
            </w:r>
            <w:r>
              <w:rPr>
                <w:rFonts w:hint="eastAsia" w:ascii="宋体" w:hAnsi="宋体" w:eastAsia="宋体" w:cs="宋体"/>
                <w:sz w:val="21"/>
                <w:szCs w:val="21"/>
              </w:rPr>
              <w:t>为管理体系的管理者代表。其职责和权限规定如下：</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确保本公司管理体系所需的过程得到建立、实施和保持，代表</w:t>
            </w:r>
            <w:r>
              <w:rPr>
                <w:rFonts w:hint="eastAsia" w:ascii="宋体" w:hAnsi="宋体" w:cs="宋体"/>
                <w:sz w:val="21"/>
                <w:szCs w:val="21"/>
                <w:lang w:eastAsia="zh-CN"/>
              </w:rPr>
              <w:t>林德标</w:t>
            </w:r>
            <w:r>
              <w:rPr>
                <w:rFonts w:hint="eastAsia" w:ascii="宋体" w:hAnsi="宋体" w:eastAsia="宋体" w:cs="宋体"/>
                <w:sz w:val="21"/>
                <w:szCs w:val="21"/>
              </w:rPr>
              <w:t>行使职权；</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询问管代周建立，职责回答正确。</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应对风险和机会的措施</w:t>
            </w:r>
          </w:p>
        </w:tc>
        <w:tc>
          <w:tcPr>
            <w:tcW w:w="1228" w:type="dxa"/>
            <w:vAlign w:val="center"/>
          </w:tcPr>
          <w:p>
            <w:pPr>
              <w:keepLines w:val="0"/>
              <w:pageBreakBefore w:val="0"/>
              <w:kinsoku/>
              <w:wordWrap/>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 6.1</w:t>
            </w:r>
          </w:p>
        </w:tc>
        <w:tc>
          <w:tcPr>
            <w:tcW w:w="10943" w:type="dxa"/>
            <w:vAlign w:val="center"/>
          </w:tcPr>
          <w:p>
            <w:pPr>
              <w:pStyle w:val="6"/>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提供《风险和机遇的应对控制程序》，对组织内外的风险和机遇进行了策划。提供“风险排查和机遇评估分析表”，识别了风险的类型、类别、风险和机遇识别、风险和机遇的评估、风险和机遇应对措施、执行情况等：风险的类型：外部因素、外部因素；风险的类别法规要求、相关方要求、社会、竞争、文化、产品供应；</w:t>
            </w:r>
          </w:p>
          <w:p>
            <w:pPr>
              <w:pStyle w:val="6"/>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风险、机遇：从客户开发、合同评审、产品交付、领导作用、信息交流、采购管理、仓库管理等方面进行分析评估。从严重程度、发生概率、可探测性、RPN等确定风险和机遇。</w:t>
            </w:r>
          </w:p>
          <w:p>
            <w:pPr>
              <w:pStyle w:val="6"/>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应对措施：与风险、机遇相适应。</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keepLines w:val="0"/>
              <w:pageBreakBefore w:val="0"/>
              <w:kinsoku/>
              <w:wordWrap/>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目标和措施计划</w:t>
            </w:r>
          </w:p>
        </w:tc>
        <w:tc>
          <w:tcPr>
            <w:tcW w:w="1228" w:type="dxa"/>
            <w:vAlign w:val="center"/>
          </w:tcPr>
          <w:p>
            <w:pPr>
              <w:keepLines w:val="0"/>
              <w:pageBreakBefore w:val="0"/>
              <w:kinsoku/>
              <w:wordWrap/>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：6.2</w:t>
            </w:r>
          </w:p>
          <w:p>
            <w:pPr>
              <w:keepLines w:val="0"/>
              <w:pageBreakBefore w:val="0"/>
              <w:kinsoku/>
              <w:wordWrap/>
              <w:topLinePunct w:val="0"/>
              <w:bidi w:val="0"/>
              <w:spacing w:line="240" w:lineRule="auto"/>
              <w:jc w:val="left"/>
              <w:rPr>
                <w:rFonts w:hint="eastAsia" w:ascii="宋体" w:hAnsi="宋体" w:eastAsia="宋体" w:cs="宋体"/>
                <w:sz w:val="21"/>
                <w:szCs w:val="21"/>
              </w:rPr>
            </w:pPr>
          </w:p>
        </w:tc>
        <w:tc>
          <w:tcPr>
            <w:tcW w:w="10943"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查GSKZ-QEOM-01-2022《管理手册》，策划并制定了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w:t>
            </w:r>
          </w:p>
          <w:p>
            <w:pPr>
              <w:keepLines w:val="0"/>
              <w:pageBreakBefore w:val="0"/>
              <w:kinsoku/>
              <w:wordWrap/>
              <w:topLinePunct w:val="0"/>
              <w:bidi w:val="0"/>
              <w:spacing w:line="240" w:lineRule="auto"/>
              <w:ind w:firstLine="630" w:firstLineChars="300"/>
              <w:rPr>
                <w:rFonts w:hint="eastAsia" w:ascii="宋体" w:hAnsi="宋体" w:eastAsia="宋体" w:cs="宋体"/>
                <w:sz w:val="21"/>
                <w:szCs w:val="21"/>
              </w:rPr>
            </w:pPr>
            <w:r>
              <w:rPr>
                <w:rFonts w:hint="eastAsia" w:ascii="宋体" w:hAnsi="宋体" w:eastAsia="宋体" w:cs="宋体"/>
                <w:kern w:val="0"/>
                <w:sz w:val="21"/>
                <w:szCs w:val="21"/>
              </w:rPr>
              <w:t>公司的管理方针：</w:t>
            </w:r>
            <w:r>
              <w:rPr>
                <w:rFonts w:hint="eastAsia" w:ascii="宋体" w:hAnsi="宋体" w:eastAsia="宋体" w:cs="宋体"/>
                <w:sz w:val="21"/>
                <w:szCs w:val="21"/>
              </w:rPr>
              <w:t>科学管理，诚信产品，顾客满意；环保领先，节能降耗，预防污染；以人为本，减少风险，保障健康；遵守法纪，全员参与，持续改进</w:t>
            </w:r>
            <w:r>
              <w:rPr>
                <w:rFonts w:hint="eastAsia" w:ascii="宋体" w:hAnsi="宋体" w:eastAsia="宋体" w:cs="宋体"/>
                <w:sz w:val="21"/>
                <w:szCs w:val="21"/>
              </w:rPr>
              <w:t>。</w:t>
            </w:r>
          </w:p>
          <w:p>
            <w:pPr>
              <w:keepLines w:val="0"/>
              <w:pageBreakBefore w:val="0"/>
              <w:kinsoku/>
              <w:wordWrap/>
              <w:topLinePunct w:val="0"/>
              <w:bidi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职业健康安全目标</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完成情况： 2022年1月-6月</w:t>
            </w:r>
          </w:p>
          <w:p>
            <w:pPr>
              <w:keepLines w:val="0"/>
              <w:pageBreakBefore w:val="0"/>
              <w:kinsoku/>
              <w:wordWrap/>
              <w:topLinePunct w:val="0"/>
              <w:bidi w:val="0"/>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rPr>
              <w:t>全年火灾事故发生率为0。</w:t>
            </w:r>
            <w:r>
              <w:rPr>
                <w:rFonts w:hint="eastAsia" w:ascii="宋体" w:hAnsi="宋体" w:cs="宋体"/>
                <w:sz w:val="21"/>
                <w:szCs w:val="21"/>
                <w:lang w:val="en-US" w:eastAsia="zh-CN"/>
              </w:rPr>
              <w:t xml:space="preserve">                                 实测：0</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组织对公司质量、环境、职业健康安全目标、指标予以分解，并在相关职能层次部门建立分目标，</w:t>
            </w:r>
          </w:p>
          <w:p>
            <w:pPr>
              <w:pStyle w:val="18"/>
              <w:keepLines w:val="0"/>
              <w:pageBreakBefore w:val="0"/>
              <w:kinsoku/>
              <w:wordWrap/>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查见《目标完成情况》，均完成。</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资源</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  </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：7.1</w:t>
            </w: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eastAsia="zh-CN"/>
              </w:rPr>
              <w:t>林德标</w:t>
            </w:r>
            <w:r>
              <w:rPr>
                <w:rFonts w:hint="eastAsia" w:ascii="宋体" w:hAnsi="宋体" w:eastAsia="宋体" w:cs="宋体"/>
                <w:sz w:val="21"/>
                <w:szCs w:val="21"/>
              </w:rPr>
              <w:t>主持了今年的管理评审，对方针、目标的适宜性进行了评审，协助管代进行了内审，确保所需资源得到满足。</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口罩）福利费用和疫情防护等投入方面。</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公司目前的基础设施，能够满足当前职业健康安全体系的要求。公司将依据</w:t>
            </w:r>
            <w:r>
              <w:rPr>
                <w:rFonts w:hint="eastAsia" w:ascii="宋体" w:hAnsi="宋体" w:cs="宋体"/>
                <w:sz w:val="21"/>
                <w:szCs w:val="21"/>
                <w:lang w:val="en-US" w:eastAsia="zh-CN"/>
              </w:rPr>
              <w:t>生产</w:t>
            </w:r>
            <w:r>
              <w:rPr>
                <w:rFonts w:hint="eastAsia" w:ascii="宋体" w:hAnsi="宋体" w:eastAsia="宋体" w:cs="宋体"/>
                <w:sz w:val="21"/>
                <w:szCs w:val="21"/>
              </w:rPr>
              <w:t>经营发展的需要，会不断补充与增加。</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信息交流、沟通</w:t>
            </w:r>
            <w:r>
              <w:rPr>
                <w:rFonts w:hint="eastAsia" w:ascii="宋体" w:hAnsi="宋体" w:cs="宋体"/>
                <w:sz w:val="21"/>
                <w:szCs w:val="21"/>
                <w:lang w:eastAsia="zh-CN"/>
              </w:rPr>
              <w:t>；</w:t>
            </w:r>
            <w:r>
              <w:rPr>
                <w:rFonts w:hint="eastAsia" w:ascii="宋体" w:hAnsi="宋体" w:cs="Arial"/>
                <w:spacing w:val="-6"/>
                <w:sz w:val="21"/>
                <w:szCs w:val="21"/>
              </w:rPr>
              <w:t>协商与参与</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 xml:space="preserve">：7.4 </w:t>
            </w:r>
            <w:r>
              <w:rPr>
                <w:rFonts w:hint="eastAsia" w:ascii="宋体" w:hAnsi="宋体" w:cs="宋体"/>
                <w:sz w:val="21"/>
                <w:szCs w:val="21"/>
                <w:lang w:eastAsia="zh-CN"/>
              </w:rPr>
              <w:t>；</w:t>
            </w:r>
            <w:r>
              <w:rPr>
                <w:rFonts w:hint="eastAsia" w:ascii="宋体" w:hAnsi="宋体" w:cs="宋体"/>
                <w:sz w:val="21"/>
                <w:szCs w:val="21"/>
                <w:lang w:val="en-US" w:eastAsia="zh-CN"/>
              </w:rPr>
              <w:t>5.4</w:t>
            </w:r>
            <w:r>
              <w:rPr>
                <w:rFonts w:hint="eastAsia" w:ascii="宋体" w:hAnsi="宋体" w:eastAsia="宋体" w:cs="宋体"/>
                <w:sz w:val="21"/>
                <w:szCs w:val="21"/>
              </w:rPr>
              <w:t xml:space="preserve"> </w:t>
            </w:r>
          </w:p>
          <w:p>
            <w:pPr>
              <w:keepLines w:val="0"/>
              <w:pageBreakBefore w:val="0"/>
              <w:kinsoku/>
              <w:wordWrap/>
              <w:topLinePunct w:val="0"/>
              <w:bidi w:val="0"/>
              <w:spacing w:line="240" w:lineRule="auto"/>
              <w:rPr>
                <w:rFonts w:hint="eastAsia" w:ascii="宋体" w:hAnsi="宋体" w:eastAsia="宋体" w:cs="宋体"/>
                <w:sz w:val="21"/>
                <w:szCs w:val="21"/>
              </w:rPr>
            </w:pPr>
          </w:p>
        </w:tc>
        <w:tc>
          <w:tcPr>
            <w:tcW w:w="10943" w:type="dxa"/>
            <w:vAlign w:val="center"/>
          </w:tcPr>
          <w:p>
            <w:pPr>
              <w:keepLines w:val="0"/>
              <w:pageBreakBefore w:val="0"/>
              <w:kinsoku/>
              <w:wordWrap/>
              <w:topLinePunct w:val="0"/>
              <w:bidi w:val="0"/>
              <w:spacing w:line="240" w:lineRule="auto"/>
              <w:ind w:firstLine="420" w:firstLineChars="200"/>
              <w:rPr>
                <w:rFonts w:hint="eastAsia"/>
              </w:rPr>
            </w:pPr>
            <w:r>
              <w:rPr>
                <w:rFonts w:hint="eastAsia"/>
              </w:rPr>
              <w:t>编制了《协商和沟通控制程序》，规定：组织在各部门之间建立了与体系有关的信息通渠沟道，借助于会议、电话、口头交流等方式使全体员工达到沟通和理解。目前各部门协调一致，工作上的接口基本理顺。</w:t>
            </w:r>
          </w:p>
          <w:p>
            <w:pPr>
              <w:keepLines w:val="0"/>
              <w:pageBreakBefore w:val="0"/>
              <w:tabs>
                <w:tab w:val="left" w:pos="9720"/>
                <w:tab w:val="left" w:pos="9900"/>
              </w:tabs>
              <w:kinsoku/>
              <w:wordWrap/>
              <w:topLinePunct w:val="0"/>
              <w:bidi w:val="0"/>
              <w:spacing w:line="240" w:lineRule="auto"/>
              <w:ind w:firstLine="420" w:firstLineChars="200"/>
              <w:rPr>
                <w:rFonts w:hint="eastAsia"/>
              </w:rPr>
            </w:pPr>
            <w:r>
              <w:rPr>
                <w:rFonts w:hint="eastAsia"/>
              </w:rPr>
              <w:t>总经理</w:t>
            </w:r>
            <w:r>
              <w:rPr>
                <w:rFonts w:hint="eastAsia"/>
                <w:lang w:eastAsia="zh-CN"/>
              </w:rPr>
              <w:t>林德标</w:t>
            </w:r>
            <w:r>
              <w:rPr>
                <w:rFonts w:hint="eastAsia"/>
              </w:rPr>
              <w:t>定期主持经营办公例会，分析公司的发展、</w:t>
            </w:r>
            <w:r>
              <w:rPr>
                <w:rFonts w:hint="eastAsia"/>
                <w:lang w:val="en-US" w:eastAsia="zh-CN"/>
              </w:rPr>
              <w:t>生产情况、</w:t>
            </w:r>
            <w:r>
              <w:rPr>
                <w:rFonts w:hint="eastAsia"/>
              </w:rPr>
              <w:t xml:space="preserve">市场情况和体系运行是否有效，管理目标完成情况，满足顾客要求和法规程度，改进建议等内部管理存在问题等。  </w:t>
            </w:r>
          </w:p>
          <w:p>
            <w:pPr>
              <w:keepLines w:val="0"/>
              <w:pageBreakBefore w:val="0"/>
              <w:tabs>
                <w:tab w:val="center" w:pos="3169"/>
              </w:tabs>
              <w:kinsoku/>
              <w:wordWrap/>
              <w:topLinePunct w:val="0"/>
              <w:bidi w:val="0"/>
              <w:spacing w:line="240" w:lineRule="auto"/>
              <w:ind w:firstLine="420" w:firstLineChars="200"/>
              <w:jc w:val="left"/>
              <w:rPr>
                <w:rFonts w:hint="eastAsia"/>
              </w:rPr>
            </w:pPr>
            <w:r>
              <w:rPr>
                <w:rFonts w:hint="eastAsia"/>
              </w:rPr>
              <w:t>查见内部交流主要通过直接面谈、会议、文件、培训方式，外部交流主要通过电话、信函方式。也可以通过工会等员工权益机构提出诉求。</w:t>
            </w:r>
          </w:p>
          <w:p>
            <w:pPr>
              <w:keepLines w:val="0"/>
              <w:pageBreakBefore w:val="0"/>
              <w:kinsoku/>
              <w:wordWrap/>
              <w:topLinePunct w:val="0"/>
              <w:bidi w:val="0"/>
              <w:spacing w:line="240" w:lineRule="auto"/>
              <w:ind w:firstLine="420" w:firstLineChars="200"/>
              <w:rPr>
                <w:rFonts w:hint="eastAsia"/>
              </w:rPr>
            </w:pPr>
            <w:r>
              <w:rPr>
                <w:rFonts w:hint="eastAsia"/>
                <w:lang w:eastAsia="zh-CN"/>
              </w:rPr>
              <w:t>综合办公室</w:t>
            </w:r>
            <w:r>
              <w:rPr>
                <w:rFonts w:hint="eastAsia"/>
              </w:rPr>
              <w:t>是内外部信息交流的中心，通过会议、邮件、培训等形式进行内部交流，向外部接收各种文件传递各种报表，外部沟通联络的部门有环保部门、劳动部门、消防安全部门、质监部门、安监部门及合同方等。</w:t>
            </w:r>
          </w:p>
          <w:p>
            <w:pPr>
              <w:keepLines w:val="0"/>
              <w:pageBreakBefore w:val="0"/>
              <w:kinsoku/>
              <w:wordWrap/>
              <w:topLinePunct w:val="0"/>
              <w:bidi w:val="0"/>
              <w:spacing w:line="240" w:lineRule="auto"/>
              <w:ind w:firstLine="420" w:firstLineChars="200"/>
              <w:rPr>
                <w:rFonts w:hint="eastAsia"/>
              </w:rPr>
            </w:pPr>
            <w:r>
              <w:rPr>
                <w:rFonts w:hint="eastAsia"/>
              </w:rPr>
              <w:t>经交流：目前与环保、劳动、消防、安监部门的信息交流主要是参加会议、接收来文、电话、邮件等，均按要求予以传达和落实，沟通情况较好。</w:t>
            </w:r>
          </w:p>
          <w:p>
            <w:pPr>
              <w:keepLines w:val="0"/>
              <w:pageBreakBefore w:val="0"/>
              <w:kinsoku/>
              <w:wordWrap/>
              <w:topLinePunct w:val="0"/>
              <w:bidi w:val="0"/>
              <w:spacing w:line="240" w:lineRule="auto"/>
              <w:ind w:firstLine="420" w:firstLineChars="200"/>
              <w:rPr>
                <w:rFonts w:hint="eastAsia" w:ascii="宋体" w:hAnsi="宋体" w:eastAsia="宋体" w:cs="宋体"/>
                <w:color w:val="auto"/>
                <w:sz w:val="21"/>
                <w:szCs w:val="21"/>
                <w:lang w:val="en-US" w:eastAsia="zh-CN"/>
              </w:rPr>
            </w:pPr>
            <w:r>
              <w:rPr>
                <w:rFonts w:hint="eastAsia"/>
              </w:rPr>
              <w:t>现有的沟通渠道和方法能满足要求。审核中未发现因沟通不利不及时而造成（影响）某项工作不能正常运行的情况。</w:t>
            </w:r>
            <w:r>
              <w:rPr>
                <w:rFonts w:hint="eastAsia"/>
                <w:lang w:val="en-US" w:eastAsia="zh-CN"/>
              </w:rPr>
              <w:t xml:space="preserve"> </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rPr>
            </w:pPr>
            <w:r>
              <w:rPr>
                <w:rFonts w:hint="eastAsia" w:ascii="宋体" w:hAnsi="宋体" w:cs="宋体"/>
                <w:color w:val="auto"/>
                <w:sz w:val="21"/>
                <w:szCs w:val="21"/>
              </w:rPr>
              <w:t>查见：公司内部会议记录表，沟通信息包括：</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rPr>
              <w:t>告知员工：职</w:t>
            </w:r>
            <w:r>
              <w:rPr>
                <w:rFonts w:hint="eastAsia" w:ascii="宋体" w:hAnsi="宋体" w:cs="宋体"/>
                <w:color w:val="auto"/>
                <w:sz w:val="21"/>
                <w:szCs w:val="21"/>
                <w:highlight w:val="none"/>
              </w:rPr>
              <w:t>业健康安全事务代表是</w:t>
            </w:r>
            <w:r>
              <w:rPr>
                <w:rFonts w:hint="eastAsia" w:ascii="宋体" w:hAnsi="宋体" w:cs="宋体"/>
                <w:color w:val="auto"/>
                <w:sz w:val="21"/>
                <w:szCs w:val="21"/>
                <w:highlight w:val="none"/>
                <w:lang w:val="en-US" w:eastAsia="zh-CN"/>
              </w:rPr>
              <w:t>高科</w:t>
            </w:r>
            <w:r>
              <w:rPr>
                <w:rFonts w:hint="eastAsia" w:ascii="宋体" w:hAnsi="宋体" w:cs="宋体"/>
                <w:color w:val="auto"/>
                <w:sz w:val="21"/>
                <w:szCs w:val="21"/>
                <w:highlight w:val="none"/>
              </w:rPr>
              <w:t>；</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告知员工：职业健康安全管理体系建立的依据、标准和意义，因公司</w:t>
            </w:r>
            <w:r>
              <w:rPr>
                <w:rFonts w:hint="eastAsia" w:ascii="宋体" w:hAnsi="宋体" w:cs="宋体"/>
                <w:color w:val="auto"/>
                <w:sz w:val="21"/>
                <w:szCs w:val="21"/>
                <w:highlight w:val="none"/>
                <w:lang w:val="en-US" w:eastAsia="zh-CN"/>
              </w:rPr>
              <w:t>为销售服务</w:t>
            </w:r>
            <w:r>
              <w:rPr>
                <w:rFonts w:hint="eastAsia" w:ascii="宋体" w:hAnsi="宋体" w:cs="宋体"/>
                <w:color w:val="auto"/>
                <w:sz w:val="21"/>
                <w:szCs w:val="21"/>
                <w:highlight w:val="none"/>
              </w:rPr>
              <w:t>，故未对全体员工出具告知书。</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组织员工学习：与安全健康管理有关的法律法规，包括《劳动合同法》、《安全服务法》、《职业病防治法》等关于员工权益、保险等内容；</w:t>
            </w:r>
          </w:p>
          <w:p>
            <w:pPr>
              <w:keepNext w:val="0"/>
              <w:keepLines w:val="0"/>
              <w:pageBreakBefore w:val="0"/>
              <w:kinsoku/>
              <w:wordWrap/>
              <w:overflowPunct/>
              <w:topLinePunct w:val="0"/>
              <w:bidi w:val="0"/>
              <w:spacing w:line="240" w:lineRule="auto"/>
              <w:ind w:firstLine="420" w:firstLineChars="200"/>
              <w:rPr>
                <w:rFonts w:hint="eastAsia"/>
                <w:color w:val="auto"/>
                <w:sz w:val="21"/>
                <w:szCs w:val="21"/>
                <w:highlight w:val="none"/>
              </w:rPr>
            </w:pPr>
            <w:r>
              <w:rPr>
                <w:rFonts w:hint="eastAsia"/>
                <w:color w:val="auto"/>
                <w:sz w:val="21"/>
                <w:szCs w:val="21"/>
                <w:highlight w:val="none"/>
              </w:rPr>
              <w:t>与</w:t>
            </w:r>
            <w:r>
              <w:rPr>
                <w:rFonts w:hint="eastAsia" w:ascii="宋体" w:hAnsi="宋体" w:cs="宋体"/>
                <w:color w:val="auto"/>
                <w:sz w:val="21"/>
                <w:szCs w:val="21"/>
                <w:highlight w:val="none"/>
              </w:rPr>
              <w:t>职业健康安全事务代表</w:t>
            </w:r>
            <w:r>
              <w:rPr>
                <w:rFonts w:hint="eastAsia" w:ascii="宋体" w:hAnsi="宋体" w:cs="宋体"/>
                <w:color w:val="auto"/>
                <w:sz w:val="21"/>
                <w:szCs w:val="21"/>
                <w:highlight w:val="none"/>
                <w:lang w:val="en-US" w:eastAsia="zh-CN"/>
              </w:rPr>
              <w:t>高科</w:t>
            </w:r>
            <w:r>
              <w:rPr>
                <w:rFonts w:hint="eastAsia"/>
                <w:color w:val="auto"/>
                <w:sz w:val="21"/>
                <w:szCs w:val="21"/>
                <w:highlight w:val="none"/>
              </w:rPr>
              <w:t>交</w:t>
            </w:r>
            <w:r>
              <w:rPr>
                <w:rFonts w:hint="eastAsia"/>
                <w:color w:val="auto"/>
                <w:sz w:val="21"/>
                <w:szCs w:val="21"/>
                <w:highlight w:val="none"/>
                <w:lang w:val="en-GB"/>
              </w:rPr>
              <w:t>谈，</w:t>
            </w:r>
            <w:r>
              <w:rPr>
                <w:rFonts w:hint="eastAsia"/>
                <w:color w:val="auto"/>
                <w:sz w:val="21"/>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pStyle w:val="11"/>
              <w:rPr>
                <w:rFonts w:hint="eastAsia"/>
              </w:rPr>
            </w:pPr>
            <w:r>
              <w:rPr>
                <w:rFonts w:hint="eastAsia" w:ascii="宋体" w:hAnsi="宋体" w:cs="宋体"/>
                <w:color w:val="auto"/>
                <w:sz w:val="21"/>
                <w:szCs w:val="21"/>
                <w:highlight w:val="none"/>
              </w:rPr>
              <w:t>询问职业健康安全事务代表</w:t>
            </w:r>
            <w:r>
              <w:rPr>
                <w:rFonts w:hint="eastAsia" w:ascii="宋体" w:hAnsi="宋体" w:cs="宋体"/>
                <w:color w:val="auto"/>
                <w:sz w:val="21"/>
                <w:szCs w:val="21"/>
                <w:highlight w:val="none"/>
                <w:lang w:eastAsia="zh-CN"/>
              </w:rPr>
              <w:t>高科</w:t>
            </w:r>
            <w:r>
              <w:rPr>
                <w:rFonts w:hint="eastAsia" w:ascii="宋体" w:hAnsi="宋体" w:cs="宋体"/>
                <w:color w:val="auto"/>
                <w:sz w:val="21"/>
                <w:szCs w:val="21"/>
                <w:highlight w:val="none"/>
              </w:rPr>
              <w:t>，了解到暂未发生员工与企业的劳动纠纷、工伤、员工投诉、员工权益争执等情况。</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2" w:type="dxa"/>
          </w:tcPr>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p>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p>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p>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p>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p>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p>
          <w:p>
            <w:pPr>
              <w:keepLines w:val="0"/>
              <w:pageBreakBefore w:val="0"/>
              <w:kinsoku/>
              <w:wordWrap/>
              <w:topLinePunct w:val="0"/>
              <w:bidi w:val="0"/>
              <w:spacing w:line="24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管理评审</w:t>
            </w:r>
          </w:p>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28" w:type="dxa"/>
          </w:tcPr>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O</w:t>
            </w: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9.3</w:t>
            </w:r>
          </w:p>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p>
          <w:p>
            <w:pPr>
              <w:keepLines w:val="0"/>
              <w:pageBreakBefore w:val="0"/>
              <w:kinsoku/>
              <w:wordWrap/>
              <w:topLinePunct w:val="0"/>
              <w:bidi w:val="0"/>
              <w:spacing w:line="240" w:lineRule="auto"/>
              <w:rPr>
                <w:rFonts w:hint="eastAsia" w:ascii="宋体" w:hAnsi="宋体" w:eastAsia="宋体" w:cs="宋体"/>
                <w:sz w:val="21"/>
                <w:szCs w:val="21"/>
              </w:rPr>
            </w:pP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公司编制并实施《管理评审控制程序》，规定管理评审每年至少进行一次，根据具体情况可以增加，增加审核由</w:t>
            </w:r>
            <w:r>
              <w:rPr>
                <w:rFonts w:hint="eastAsia" w:ascii="宋体" w:hAnsi="宋体" w:cs="宋体"/>
                <w:sz w:val="21"/>
                <w:szCs w:val="21"/>
                <w:lang w:eastAsia="zh-CN"/>
              </w:rPr>
              <w:t>综合办公室</w:t>
            </w:r>
            <w:r>
              <w:rPr>
                <w:rFonts w:hint="eastAsia" w:ascii="宋体" w:hAnsi="宋体" w:eastAsia="宋体" w:cs="宋体"/>
                <w:sz w:val="21"/>
                <w:szCs w:val="21"/>
              </w:rPr>
              <w:t>提出审核计划，报管理者代表批准后实施。</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查策划：在《管理评审程序》中明确了管理评审的实施要求。策划每年进行一次管理评审，间隔不超过12个月。</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查阅公司管理评审资料，提供：《管理评审计划》</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评审时间：计划 </w:t>
            </w:r>
            <w:r>
              <w:rPr>
                <w:rFonts w:hint="eastAsia" w:ascii="宋体" w:hAnsi="宋体" w:eastAsia="宋体" w:cs="宋体"/>
                <w:sz w:val="21"/>
                <w:szCs w:val="21"/>
                <w:lang w:val="en-US" w:eastAsia="zh-CN"/>
              </w:rPr>
              <w:t>2022年</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日</w:t>
            </w:r>
            <w:r>
              <w:rPr>
                <w:rFonts w:hint="eastAsia" w:ascii="宋体" w:hAnsi="宋体" w:eastAsia="宋体" w:cs="宋体"/>
                <w:sz w:val="21"/>
                <w:szCs w:val="21"/>
              </w:rPr>
              <w:t>进行，评审方式：会议评审，</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评审地点：会议室 ；</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参加人员：总经理、管代及各部门负责人；</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sz w:val="21"/>
                <w:szCs w:val="21"/>
              </w:rPr>
            </w:pPr>
            <w:r>
              <w:rPr>
                <w:rFonts w:hint="eastAsia" w:ascii="宋体" w:hAnsi="宋体" w:cs="宋体"/>
                <w:sz w:val="21"/>
                <w:szCs w:val="21"/>
                <w:lang w:val="en-US" w:eastAsia="zh-CN"/>
              </w:rPr>
              <w:t>管理评审输入内容</w:t>
            </w:r>
            <w:r>
              <w:rPr>
                <w:rFonts w:hint="eastAsia" w:ascii="宋体" w:hAnsi="宋体" w:eastAsia="宋体" w:cs="宋体"/>
                <w:sz w:val="21"/>
                <w:szCs w:val="21"/>
              </w:rPr>
              <w:t>：</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1.质量和环境方针、目标指标和管理方案的适宜性，质量和环境、职业健康安全方针是否为管理目标制定提供了框架；</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2.质量和环境、职业健康安全管理体系是否满足ISO9001:2015、ISO14001:2015、ISO45001:2018标准的要求；</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3.内部审核结果，来自相关方的意见及分析；</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4.公司质量目标环境和职业健康安全《目标指标及管理方案》的落实情况；</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5.近期采取的纠正措施、预防措施状况，目前持续改进能力分析；</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6.可能影响公司管理体系变更情况的分析；</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7.有关质量、环境或职业健康安全方面的改进建议；</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8.合规性评价结果、事故调查、相关方反馈意见等；</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以上内容可通过会上口头发言及工作总结、汇报等形式体现。</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管理评审输出/评审结论</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1、公司质量、环境和职业健康安全管理体系文件及其过程基本有效适宜，目前基本不需要大的更改，管理体系文件不许更改。</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2、公司质量、环境和职业健康安全管理方针也基本适宜，目前基本不需更改。</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3、公司组织结构、部门设置、职责分工，环境、安全目标指标和管理方案等方面也基本有效适宜，目前不需更改。</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公司目前的人力、设备设施资源等需求能够满足我公司当前和近期需求。但应随着承接合同的和业务领域的增加，加强公司的生产人员操作能力：</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1.法律法规培训； 2、生产人员技能培训；。</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改进</w:t>
            </w:r>
          </w:p>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28" w:type="dxa"/>
            <w:vAlign w:val="center"/>
          </w:tcPr>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O</w:t>
            </w:r>
            <w:r>
              <w:rPr>
                <w:rFonts w:hint="eastAsia" w:ascii="宋体" w:hAnsi="宋体" w:eastAsia="宋体" w:cs="宋体"/>
                <w:color w:val="000000" w:themeColor="text1"/>
                <w:sz w:val="21"/>
                <w:szCs w:val="21"/>
                <w14:textFill>
                  <w14:solidFill>
                    <w14:schemeClr w14:val="tx1"/>
                  </w14:solidFill>
                </w14:textFill>
              </w:rPr>
              <w:t>：</w:t>
            </w:r>
          </w:p>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10.1、10.3</w:t>
            </w:r>
          </w:p>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管理者代表根据总经理</w:t>
            </w:r>
            <w:r>
              <w:rPr>
                <w:rFonts w:hint="eastAsia" w:ascii="宋体" w:hAnsi="宋体" w:cs="宋体"/>
                <w:sz w:val="21"/>
                <w:szCs w:val="21"/>
                <w:lang w:val="en-US" w:eastAsia="zh-CN"/>
              </w:rPr>
              <w:t>要求</w:t>
            </w:r>
            <w:r>
              <w:rPr>
                <w:rFonts w:hint="eastAsia" w:ascii="宋体" w:hAnsi="宋体" w:eastAsia="宋体" w:cs="宋体"/>
                <w:sz w:val="21"/>
                <w:szCs w:val="21"/>
              </w:rPr>
              <w:t>组织持续改进过程的策划工作，由</w:t>
            </w:r>
            <w:r>
              <w:rPr>
                <w:rFonts w:hint="eastAsia" w:ascii="宋体" w:hAnsi="宋体" w:cs="宋体"/>
                <w:sz w:val="21"/>
                <w:szCs w:val="21"/>
                <w:lang w:eastAsia="zh-CN"/>
              </w:rPr>
              <w:t>综合办公室</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自体系运行以来，全员的质量意识、服务意识、环保意识有较大的提高，市场经营规模有了较大发展，持续改进了管理体系的有效性。</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Arial"/>
                <w:spacing w:val="-6"/>
                <w:sz w:val="21"/>
                <w:szCs w:val="21"/>
              </w:rPr>
              <w:t>国家/地方监督抽查情况；顾客满意、相关方投诉及处理情况；一阶段问题验证，验证企业相关资质证明的有效性；</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color w:val="000000" w:themeColor="text1"/>
                <w:sz w:val="21"/>
                <w:szCs w:val="21"/>
                <w14:textFill>
                  <w14:solidFill>
                    <w14:schemeClr w14:val="tx1"/>
                  </w14:solidFill>
                </w14:textFill>
              </w:rPr>
            </w:pPr>
          </w:p>
        </w:tc>
        <w:tc>
          <w:tcPr>
            <w:tcW w:w="10943" w:type="dxa"/>
            <w:vAlign w:val="top"/>
          </w:tcPr>
          <w:p>
            <w:pPr>
              <w:keepNext w:val="0"/>
              <w:keepLines w:val="0"/>
              <w:pageBreakBefore w:val="0"/>
              <w:widowControl/>
              <w:kinsoku/>
              <w:wordWrap/>
              <w:overflowPunct/>
              <w:topLinePunct w:val="0"/>
              <w:bidi w:val="0"/>
              <w:spacing w:line="240" w:lineRule="auto"/>
              <w:ind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auto"/>
                <w:sz w:val="21"/>
                <w:szCs w:val="21"/>
              </w:rPr>
              <w:t>现场确认，公司职业健康安全管理体系范围</w:t>
            </w:r>
            <w:r>
              <w:rPr>
                <w:rFonts w:hint="eastAsia" w:ascii="宋体" w:hAnsi="宋体" w:eastAsia="宋体" w:cs="宋体"/>
                <w:color w:val="000000"/>
                <w:kern w:val="0"/>
                <w:sz w:val="21"/>
                <w:szCs w:val="21"/>
                <w:lang w:val="en-US" w:eastAsia="zh-CN"/>
              </w:rPr>
              <w:t>为：</w:t>
            </w:r>
          </w:p>
          <w:p>
            <w:pPr>
              <w:pStyle w:val="18"/>
              <w:keepNext w:val="0"/>
              <w:keepLines w:val="0"/>
              <w:pageBreakBefore w:val="0"/>
              <w:kinsoku/>
              <w:wordWrap/>
              <w:overflowPunct/>
              <w:topLinePunct w:val="0"/>
              <w:bidi w:val="0"/>
              <w:spacing w:before="0" w:after="0" w:line="240" w:lineRule="auto"/>
              <w:ind w:firstLine="460" w:firstLineChars="200"/>
              <w:rPr>
                <w:rFonts w:hint="eastAsia" w:ascii="宋体" w:hAnsi="宋体" w:eastAsia="宋体" w:cs="宋体"/>
                <w:color w:val="auto"/>
                <w:sz w:val="21"/>
                <w:szCs w:val="21"/>
                <w:lang w:val="en-US" w:eastAsia="zh-CN"/>
              </w:rPr>
            </w:pPr>
            <w:r>
              <w:rPr>
                <w:rFonts w:hint="eastAsia" w:ascii="宋体" w:hAnsi="宋体" w:eastAsia="宋体" w:cs="宋体"/>
                <w:sz w:val="21"/>
                <w:szCs w:val="21"/>
              </w:rPr>
              <w:t>O：</w:t>
            </w:r>
            <w:r>
              <w:rPr>
                <w:rFonts w:hint="eastAsia" w:ascii="宋体" w:hAnsi="宋体" w:cs="宋体"/>
                <w:sz w:val="21"/>
                <w:szCs w:val="21"/>
                <w:lang w:eastAsia="zh-CN"/>
              </w:rPr>
              <w:t>铸造件、锻造件、法兰件的生产所涉及场所的相关职业健康安全管理活动</w:t>
            </w:r>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bidi w:val="0"/>
              <w:spacing w:line="24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提供营业执照（三证合一），检查有效，经营范围包含认证范围</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rPr>
              <w:t>在有效期范围内。</w:t>
            </w:r>
          </w:p>
          <w:p>
            <w:pPr>
              <w:keepNext w:val="0"/>
              <w:keepLines w:val="0"/>
              <w:pageBreakBefore w:val="0"/>
              <w:kinsoku/>
              <w:wordWrap/>
              <w:overflowPunct/>
              <w:topLinePunct w:val="0"/>
              <w:bidi w:val="0"/>
              <w:spacing w:line="24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经验证，</w:t>
            </w:r>
            <w:r>
              <w:rPr>
                <w:rFonts w:hint="eastAsia" w:ascii="宋体" w:hAnsi="宋体" w:eastAsia="宋体" w:cs="宋体"/>
                <w:color w:val="auto"/>
                <w:sz w:val="21"/>
                <w:szCs w:val="21"/>
                <w:lang w:val="en-US" w:eastAsia="zh-CN"/>
              </w:rPr>
              <w:t>自体系建立以来，公司质量、</w:t>
            </w:r>
            <w:r>
              <w:rPr>
                <w:rFonts w:hint="eastAsia" w:ascii="宋体" w:hAnsi="宋体" w:eastAsia="宋体" w:cs="宋体"/>
                <w:color w:val="auto"/>
                <w:sz w:val="21"/>
                <w:szCs w:val="21"/>
              </w:rPr>
              <w:t>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职业健康安全管理体系运行正常，可判定公司</w:t>
            </w:r>
            <w:r>
              <w:rPr>
                <w:rFonts w:hint="eastAsia" w:ascii="宋体" w:hAnsi="宋体" w:cs="宋体"/>
                <w:color w:val="auto"/>
                <w:sz w:val="21"/>
                <w:szCs w:val="21"/>
                <w:lang w:val="en-US" w:eastAsia="zh-CN"/>
              </w:rPr>
              <w:t>管理体系</w:t>
            </w:r>
            <w:r>
              <w:rPr>
                <w:rFonts w:hint="eastAsia" w:ascii="宋体" w:hAnsi="宋体" w:eastAsia="宋体" w:cs="宋体"/>
                <w:color w:val="auto"/>
                <w:sz w:val="21"/>
                <w:szCs w:val="21"/>
              </w:rPr>
              <w:t>的建立符合标准要求、实施有效。</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公司严格执行国标及行业要求和法律、法规要求。</w:t>
            </w:r>
            <w:r>
              <w:rPr>
                <w:rFonts w:hint="eastAsia" w:ascii="宋体" w:hAnsi="宋体" w:cs="宋体"/>
                <w:color w:val="auto"/>
                <w:sz w:val="21"/>
                <w:szCs w:val="21"/>
                <w:lang w:val="en-US" w:eastAsia="zh-CN"/>
              </w:rPr>
              <w:t>无</w:t>
            </w:r>
            <w:r>
              <w:rPr>
                <w:rFonts w:hint="eastAsia" w:ascii="宋体" w:hAnsi="宋体" w:cs="Arial"/>
                <w:spacing w:val="-6"/>
                <w:sz w:val="21"/>
                <w:szCs w:val="21"/>
              </w:rPr>
              <w:t>国家/地方监督抽查情况</w:t>
            </w:r>
            <w:r>
              <w:rPr>
                <w:rFonts w:hint="eastAsia" w:ascii="宋体" w:hAnsi="宋体" w:cs="Arial"/>
                <w:spacing w:val="-6"/>
                <w:sz w:val="21"/>
                <w:szCs w:val="21"/>
                <w:lang w:val="en-US" w:eastAsia="zh-CN"/>
              </w:rPr>
              <w:t>发生，</w:t>
            </w:r>
            <w:r>
              <w:rPr>
                <w:rFonts w:hint="eastAsia" w:ascii="宋体" w:hAnsi="宋体" w:eastAsia="宋体" w:cs="宋体"/>
                <w:color w:val="auto"/>
                <w:sz w:val="21"/>
                <w:szCs w:val="21"/>
              </w:rPr>
              <w:t>无重大的</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安全问题和投诉。</w:t>
            </w:r>
          </w:p>
          <w:p>
            <w:pPr>
              <w:pStyle w:val="2"/>
              <w:keepNext w:val="0"/>
              <w:keepLines w:val="0"/>
              <w:pageBreakBefore w:val="0"/>
              <w:kinsoku/>
              <w:wordWrap/>
              <w:overflowPunct/>
              <w:topLinePunct w:val="0"/>
              <w:bidi w:val="0"/>
              <w:spacing w:line="240" w:lineRule="auto"/>
              <w:ind w:firstLine="420" w:firstLineChars="200"/>
              <w:rPr>
                <w:rFonts w:hint="default" w:ascii="宋体" w:hAnsi="宋体" w:eastAsia="宋体" w:cs="宋体"/>
                <w:color w:val="auto"/>
                <w:sz w:val="21"/>
                <w:szCs w:val="21"/>
                <w:lang w:val="en-US" w:eastAsia="zh-CN" w:bidi="ar-SA"/>
              </w:rPr>
            </w:pPr>
            <w:r>
              <w:rPr>
                <w:rFonts w:hint="eastAsia" w:ascii="宋体" w:hAnsi="宋体" w:cs="宋体"/>
                <w:color w:val="auto"/>
                <w:sz w:val="21"/>
                <w:szCs w:val="21"/>
                <w:highlight w:val="none"/>
                <w:lang w:val="en-US" w:eastAsia="zh-CN"/>
              </w:rPr>
              <w:t>一阶段</w:t>
            </w:r>
            <w:r>
              <w:rPr>
                <w:rFonts w:hint="eastAsia" w:ascii="宋体" w:hAnsi="宋体" w:eastAsia="宋体" w:cs="宋体"/>
                <w:color w:val="auto"/>
                <w:sz w:val="21"/>
                <w:szCs w:val="21"/>
                <w:highlight w:val="none"/>
                <w:lang w:val="en-US" w:eastAsia="zh-CN"/>
              </w:rPr>
              <w:t>不符合情况验证：</w:t>
            </w:r>
            <w:r>
              <w:rPr>
                <w:rFonts w:hint="eastAsia" w:ascii="宋体" w:hAnsi="宋体" w:cs="宋体"/>
                <w:color w:val="auto"/>
                <w:sz w:val="21"/>
                <w:szCs w:val="21"/>
                <w:highlight w:val="none"/>
                <w:lang w:val="en-US" w:eastAsia="zh-CN"/>
              </w:rPr>
              <w:t>无整改情况发生</w:t>
            </w:r>
          </w:p>
        </w:tc>
        <w:tc>
          <w:tcPr>
            <w:tcW w:w="646"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p>
        </w:tc>
      </w:tr>
    </w:tbl>
    <w:p>
      <w:pPr>
        <w:pStyle w:val="9"/>
      </w:pPr>
      <w:r>
        <w:rPr>
          <w:rFonts w:hint="eastAsia"/>
        </w:rPr>
        <w:t>说明：不符合标注N</w:t>
      </w:r>
    </w:p>
    <w:p>
      <w:bookmarkStart w:id="2" w:name="_GoBack"/>
      <w:bookmarkEnd w:id="2"/>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2"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JxH1Pc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ZmQ4MWM5YTdlOTM3ZWEzMDQwZGU2MjkwZTUyZWYifQ=="/>
  </w:docVars>
  <w:rsids>
    <w:rsidRoot w:val="00000000"/>
    <w:rsid w:val="10AB6CA0"/>
    <w:rsid w:val="25171871"/>
    <w:rsid w:val="26D31B7C"/>
    <w:rsid w:val="2EA21263"/>
    <w:rsid w:val="35BD49A7"/>
    <w:rsid w:val="42A26ED8"/>
    <w:rsid w:val="575B456D"/>
    <w:rsid w:val="5FFB5171"/>
    <w:rsid w:val="6B0B7C00"/>
    <w:rsid w:val="6BA24904"/>
    <w:rsid w:val="6DDB6A2D"/>
    <w:rsid w:val="7DE91552"/>
    <w:rsid w:val="7E700F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2"/>
    <w:basedOn w:val="1"/>
    <w:next w:val="5"/>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next w:val="2"/>
    <w:unhideWhenUsed/>
    <w:qFormat/>
    <w:uiPriority w:val="99"/>
    <w:pPr>
      <w:spacing w:line="420" w:lineRule="exact"/>
    </w:pPr>
    <w:rPr>
      <w:sz w:val="24"/>
    </w:rPr>
  </w:style>
  <w:style w:type="paragraph" w:styleId="7">
    <w:name w:val="Plain Text"/>
    <w:basedOn w:val="1"/>
    <w:qFormat/>
    <w:uiPriority w:val="0"/>
    <w:rPr>
      <w:rFonts w:hint="eastAsia" w:ascii="宋体" w:hAnsi="Courier New"/>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unhideWhenUsed/>
    <w:qFormat/>
    <w:uiPriority w:val="99"/>
    <w:pPr>
      <w:ind w:firstLine="420" w:firstLineChars="100"/>
    </w:p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0"/>
    <w:pPr>
      <w:spacing w:before="25" w:after="25"/>
    </w:pPr>
    <w:rPr>
      <w:bCs/>
      <w:spacing w:val="10"/>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f11"/>
    <w:basedOn w:val="13"/>
    <w:qFormat/>
    <w:uiPriority w:val="0"/>
    <w:rPr>
      <w:sz w:val="20"/>
      <w:szCs w:val="20"/>
    </w:rPr>
  </w:style>
  <w:style w:type="paragraph" w:customStyle="1" w:styleId="21">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5668</Words>
  <Characters>5807</Characters>
  <Lines>1</Lines>
  <Paragraphs>1</Paragraphs>
  <TotalTime>0</TotalTime>
  <ScaleCrop>false</ScaleCrop>
  <LinksUpToDate>false</LinksUpToDate>
  <CharactersWithSpaces>5940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2022-09-18T05:19:40Z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CB213B67E503433995672601275C1D9B</vt:lpwstr>
  </property>
  <property fmtid="{D5CDD505-2E9C-101B-9397-08002B2CF9AE}" pid="3" name="KSOProductBuildVer">
    <vt:lpwstr>2052-11.1.0.12358</vt:lpwstr>
  </property>
</Properties>
</file>