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3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3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管理层，</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szCs w:val="24"/>
                <w:highlight w:val="none"/>
              </w:rPr>
              <w:t>：</w:t>
            </w:r>
            <w:r>
              <w:rPr>
                <w:rFonts w:hint="eastAsia"/>
                <w:color w:val="auto"/>
                <w:sz w:val="24"/>
                <w:highlight w:val="none"/>
                <w:lang w:val="en-US" w:eastAsia="zh-CN"/>
              </w:rPr>
              <w:t>杨松、</w:t>
            </w:r>
            <w:r>
              <w:rPr>
                <w:rFonts w:hint="eastAsia"/>
                <w:color w:val="auto"/>
                <w:sz w:val="24"/>
                <w:szCs w:val="24"/>
                <w:highlight w:val="none"/>
                <w:lang w:val="en-US" w:eastAsia="zh-CN"/>
              </w:rPr>
              <w:t xml:space="preserve">罗琼（管代）， </w:t>
            </w:r>
            <w:r>
              <w:rPr>
                <w:rFonts w:hint="eastAsia"/>
                <w:color w:val="auto"/>
                <w:sz w:val="24"/>
                <w:szCs w:val="24"/>
                <w:highlight w:val="none"/>
              </w:rPr>
              <w:t>陪同人员：</w:t>
            </w:r>
            <w:r>
              <w:rPr>
                <w:rFonts w:hint="eastAsia" w:cs="Times New Roman"/>
                <w:color w:val="auto"/>
                <w:sz w:val="24"/>
                <w:szCs w:val="24"/>
                <w:lang w:val="en-US" w:eastAsia="zh-CN"/>
              </w:rPr>
              <w:t>周明群</w:t>
            </w:r>
          </w:p>
        </w:tc>
        <w:tc>
          <w:tcPr>
            <w:tcW w:w="95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        </w:t>
            </w:r>
            <w:r>
              <w:rPr>
                <w:rFonts w:hint="eastAsia"/>
                <w:color w:val="auto"/>
                <w:sz w:val="24"/>
                <w:szCs w:val="24"/>
              </w:rPr>
              <w:t>审核时间：</w:t>
            </w:r>
            <w:r>
              <w:rPr>
                <w:rFonts w:hint="eastAsia"/>
                <w:color w:val="auto"/>
                <w:sz w:val="24"/>
                <w:szCs w:val="24"/>
                <w:lang w:val="en-US" w:eastAsia="zh-CN"/>
              </w:rPr>
              <w:t>2022年9月16日上午</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637" w:type="dxa"/>
            <w:vAlign w:val="center"/>
          </w:tcPr>
          <w:p>
            <w:pPr>
              <w:rPr>
                <w:rFonts w:hint="eastAsia" w:ascii="宋体" w:hAnsi="宋体" w:cs="Times New Roman"/>
                <w:sz w:val="18"/>
                <w:szCs w:val="18"/>
                <w:lang w:eastAsia="zh-CN"/>
              </w:rPr>
            </w:pPr>
            <w:r>
              <w:rPr>
                <w:rFonts w:hint="eastAsia"/>
                <w:color w:val="auto"/>
                <w:sz w:val="24"/>
                <w:szCs w:val="24"/>
              </w:rPr>
              <w:t>审核条款：</w:t>
            </w:r>
            <w:r>
              <w:rPr>
                <w:rFonts w:hint="eastAsia" w:ascii="宋体" w:hAnsi="宋体" w:cs="Times New Roman"/>
                <w:sz w:val="18"/>
                <w:szCs w:val="18"/>
              </w:rPr>
              <w:t>4.1组织及其环境;4.2相关方需求与期望;4.3确定体系范围;4.4体系;5.1领导作用与承诺;5.2方针;5.3组织的角色、职责和权限；6.1</w:t>
            </w:r>
            <w:r>
              <w:rPr>
                <w:rFonts w:hint="eastAsia" w:ascii="宋体" w:hAnsi="宋体" w:cs="宋体"/>
                <w:sz w:val="18"/>
                <w:szCs w:val="18"/>
              </w:rPr>
              <w:t>应对风险和机遇的措施</w:t>
            </w:r>
            <w:r>
              <w:rPr>
                <w:rFonts w:hint="eastAsia" w:ascii="宋体" w:hAnsi="宋体" w:cs="Times New Roman"/>
                <w:sz w:val="18"/>
                <w:szCs w:val="18"/>
              </w:rPr>
              <w:t>；6.1.4措施的策划；6.2目标及其实现的策划；9.1.1监测、分析和评估总则；9.3管理评审；10.1改进 总则；10.3持续改进</w:t>
            </w:r>
            <w:r>
              <w:rPr>
                <w:rFonts w:hint="eastAsia" w:ascii="宋体" w:hAnsi="宋体" w:cs="Times New Roman"/>
                <w:sz w:val="18"/>
                <w:szCs w:val="18"/>
                <w:lang w:eastAsia="zh-CN"/>
              </w:rPr>
              <w:t>；</w:t>
            </w:r>
          </w:p>
          <w:p>
            <w:pPr>
              <w:rPr>
                <w:color w:val="auto"/>
                <w:sz w:val="24"/>
                <w:szCs w:val="24"/>
              </w:rPr>
            </w:pPr>
            <w:r>
              <w:rPr>
                <w:rFonts w:hint="eastAsia" w:ascii="宋体" w:hAnsi="宋体"/>
                <w:sz w:val="18"/>
                <w:szCs w:val="18"/>
                <w:lang w:eastAsia="zh-CN"/>
              </w:rPr>
              <w:t>范围的确认、资质的确认、法律法规执行情</w:t>
            </w:r>
            <w:r>
              <w:rPr>
                <w:rFonts w:hint="eastAsia" w:ascii="宋体" w:hAnsi="宋体" w:eastAsia="宋体" w:cs="Times New Roman"/>
                <w:sz w:val="18"/>
                <w:szCs w:val="18"/>
                <w:lang w:eastAsia="zh-CN"/>
              </w:rPr>
              <w:t>况、环保抽查及相关投诉情况、认证证书及标识使用情况，上次不符合验证。</w:t>
            </w:r>
          </w:p>
        </w:tc>
        <w:tc>
          <w:tcPr>
            <w:tcW w:w="95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vAlign w:val="top"/>
          </w:tcPr>
          <w:p>
            <w:pPr>
              <w:rPr>
                <w:rFonts w:hint="eastAsia" w:ascii="宋体" w:hAnsi="宋体" w:cs="宋体"/>
                <w:color w:val="auto"/>
                <w:sz w:val="21"/>
                <w:szCs w:val="21"/>
              </w:rPr>
            </w:pPr>
            <w:r>
              <w:rPr>
                <w:rFonts w:hint="eastAsia" w:ascii="宋体" w:hAnsi="宋体" w:cs="宋体"/>
                <w:color w:val="auto"/>
                <w:sz w:val="21"/>
                <w:szCs w:val="21"/>
              </w:rPr>
              <w:t>组织及其环境;</w:t>
            </w:r>
          </w:p>
          <w:p>
            <w:pPr>
              <w:rPr>
                <w:rFonts w:hint="eastAsia" w:ascii="宋体" w:hAnsi="宋体" w:cs="宋体"/>
                <w:color w:val="auto"/>
                <w:sz w:val="21"/>
                <w:szCs w:val="21"/>
              </w:rPr>
            </w:pPr>
            <w:r>
              <w:rPr>
                <w:rFonts w:hint="eastAsia" w:ascii="宋体" w:hAnsi="宋体" w:cs="宋体"/>
                <w:color w:val="auto"/>
                <w:sz w:val="21"/>
                <w:szCs w:val="21"/>
              </w:rPr>
              <w:t>相关方需求与期望;</w:t>
            </w:r>
          </w:p>
          <w:p>
            <w:pPr>
              <w:rPr>
                <w:rFonts w:hint="eastAsia" w:ascii="宋体" w:hAnsi="宋体" w:cs="宋体"/>
                <w:color w:val="auto"/>
                <w:sz w:val="21"/>
                <w:szCs w:val="21"/>
              </w:rPr>
            </w:pPr>
            <w:r>
              <w:rPr>
                <w:rFonts w:hint="eastAsia" w:ascii="宋体" w:hAnsi="宋体" w:cs="宋体"/>
                <w:color w:val="auto"/>
                <w:sz w:val="21"/>
                <w:szCs w:val="21"/>
              </w:rPr>
              <w:t>确定体系范围;</w:t>
            </w:r>
          </w:p>
          <w:p>
            <w:pPr>
              <w:rPr>
                <w:rFonts w:hint="eastAsia" w:ascii="宋体" w:hAnsi="宋体" w:cs="宋体"/>
                <w:color w:val="auto"/>
                <w:sz w:val="21"/>
                <w:szCs w:val="21"/>
              </w:rPr>
            </w:pPr>
            <w:r>
              <w:rPr>
                <w:rFonts w:hint="eastAsia" w:ascii="宋体" w:hAnsi="宋体" w:cs="宋体"/>
                <w:color w:val="auto"/>
                <w:sz w:val="21"/>
                <w:szCs w:val="21"/>
              </w:rPr>
              <w:t>体系及其过程;</w:t>
            </w:r>
          </w:p>
          <w:p>
            <w:pPr>
              <w:rPr>
                <w:rFonts w:hint="eastAsia" w:ascii="宋体" w:hAnsi="宋体" w:cs="宋体"/>
                <w:color w:val="auto"/>
                <w:sz w:val="21"/>
                <w:szCs w:val="21"/>
              </w:rPr>
            </w:pPr>
            <w:r>
              <w:rPr>
                <w:rFonts w:hint="eastAsia" w:ascii="宋体" w:hAnsi="宋体" w:cs="宋体"/>
                <w:color w:val="auto"/>
                <w:sz w:val="21"/>
                <w:szCs w:val="21"/>
              </w:rPr>
              <w:t>总要求</w:t>
            </w:r>
          </w:p>
          <w:p>
            <w:pPr>
              <w:rPr>
                <w:rFonts w:hint="eastAsia" w:ascii="宋体" w:hAnsi="宋体" w:cs="宋体"/>
                <w:color w:val="auto"/>
                <w:sz w:val="21"/>
                <w:szCs w:val="21"/>
              </w:rPr>
            </w:pPr>
          </w:p>
          <w:p>
            <w:pPr>
              <w:adjustRightInd w:val="0"/>
              <w:snapToGrid w:val="0"/>
              <w:jc w:val="center"/>
              <w:rPr>
                <w:rFonts w:ascii="Times New Roman" w:hAnsi="Times New Roman" w:eastAsia="宋体" w:cs="Times New Roman"/>
                <w:color w:val="auto"/>
                <w:kern w:val="2"/>
                <w:sz w:val="21"/>
                <w:szCs w:val="21"/>
                <w:lang w:val="en-US" w:eastAsia="zh-CN" w:bidi="ar-SA"/>
              </w:rPr>
            </w:pPr>
          </w:p>
        </w:tc>
        <w:tc>
          <w:tcPr>
            <w:tcW w:w="960" w:type="dxa"/>
            <w:vAlign w:val="top"/>
          </w:tcPr>
          <w:p>
            <w:pPr>
              <w:adjustRightInd w:val="0"/>
              <w:snapToGrid w:val="0"/>
              <w:rPr>
                <w:rFonts w:ascii="宋体" w:hAnsi="宋体" w:cs="宋体"/>
                <w:color w:val="auto"/>
                <w:kern w:val="1"/>
                <w:sz w:val="21"/>
                <w:szCs w:val="21"/>
              </w:rPr>
            </w:pPr>
            <w:r>
              <w:rPr>
                <w:rFonts w:hint="eastAsia" w:ascii="宋体" w:hAnsi="宋体" w:cs="宋体"/>
                <w:color w:val="auto"/>
                <w:kern w:val="1"/>
                <w:sz w:val="21"/>
                <w:szCs w:val="21"/>
              </w:rPr>
              <w:t>4.1;4.2;4.3;4.4</w:t>
            </w:r>
          </w:p>
          <w:p>
            <w:pPr>
              <w:adjustRightInd w:val="0"/>
              <w:snapToGrid w:val="0"/>
              <w:rPr>
                <w:rFonts w:ascii="Times New Roman" w:hAnsi="Times New Roman" w:eastAsia="宋体" w:cs="Times New Roman"/>
                <w:color w:val="auto"/>
                <w:kern w:val="2"/>
                <w:sz w:val="21"/>
                <w:szCs w:val="21"/>
                <w:lang w:val="en-US" w:eastAsia="zh-CN" w:bidi="ar-SA"/>
              </w:rPr>
            </w:pPr>
          </w:p>
        </w:tc>
        <w:tc>
          <w:tcPr>
            <w:tcW w:w="10637" w:type="dxa"/>
            <w:vAlign w:val="top"/>
          </w:tcPr>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公司通过同行交流、座谈会、每周工作例会、QQ、微信、电话交流、网上查询沟通等进行内外部沟通方式，并定期进行评审，形成会议记录。</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抽查202</w:t>
            </w:r>
            <w:r>
              <w:rPr>
                <w:rFonts w:hint="eastAsia" w:ascii="宋体" w:hAnsi="宋体" w:eastAsia="宋体" w:cs="宋体"/>
                <w:sz w:val="21"/>
                <w:szCs w:val="21"/>
                <w:lang w:val="en-US" w:eastAsia="zh-CN"/>
              </w:rPr>
              <w:t>2</w:t>
            </w:r>
            <w:r>
              <w:rPr>
                <w:rFonts w:hint="eastAsia" w:ascii="宋体" w:hAnsi="宋体" w:eastAsia="宋体" w:cs="宋体"/>
                <w:sz w:val="21"/>
                <w:szCs w:val="21"/>
              </w:rPr>
              <w:t>年总过程风险机会识别措施评价表，内容及记录清晰。</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公司确定的相关方有政府机构、第三方认证机构、员工、投资者、客户、供应商等。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理解员工诉求的形式为谈心、会议等；理解客户等相关方的形式主要为电话沟通、上门拜访等；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员工关注的主要问题有工资、待遇、晋升机制、福利等，供应商和合作伙伴关注的主要问题互利和连续性，服务质量、售后服务、成本价格、交付期等</w:t>
            </w:r>
          </w:p>
          <w:p>
            <w:pPr>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供应商关注的主要问题是采购信息、沟通渠道、价格谈判以及付款时间等。</w:t>
            </w:r>
          </w:p>
          <w:p>
            <w:pPr>
              <w:tabs>
                <w:tab w:val="center" w:pos="3169"/>
              </w:tabs>
              <w:spacing w:line="400" w:lineRule="exact"/>
              <w:ind w:firstLine="210" w:firstLineChars="100"/>
              <w:jc w:val="left"/>
              <w:rPr>
                <w:rFonts w:ascii="宋体" w:hAnsi="宋体" w:cs="宋体"/>
                <w:color w:val="auto"/>
                <w:sz w:val="21"/>
                <w:szCs w:val="21"/>
                <w:highlight w:val="none"/>
              </w:rPr>
            </w:pPr>
            <w:r>
              <w:rPr>
                <w:rFonts w:hint="eastAsia" w:ascii="宋体" w:hAnsi="宋体" w:cs="宋体"/>
                <w:color w:val="auto"/>
                <w:sz w:val="21"/>
                <w:szCs w:val="21"/>
              </w:rPr>
              <w:t>公司</w:t>
            </w:r>
            <w:r>
              <w:rPr>
                <w:rFonts w:hint="eastAsia" w:ascii="宋体" w:hAnsi="宋体" w:cs="宋体"/>
                <w:color w:val="auto"/>
                <w:sz w:val="21"/>
                <w:szCs w:val="21"/>
                <w:lang w:val="en-US" w:eastAsia="zh-CN"/>
              </w:rPr>
              <w:t>环境</w:t>
            </w:r>
            <w:r>
              <w:rPr>
                <w:rFonts w:hint="eastAsia" w:ascii="宋体" w:hAnsi="宋体" w:cs="宋体"/>
                <w:color w:val="auto"/>
                <w:sz w:val="21"/>
                <w:szCs w:val="21"/>
              </w:rPr>
              <w:t>管理体系的认证范围为</w:t>
            </w:r>
            <w:r>
              <w:rPr>
                <w:rFonts w:hint="eastAsia" w:ascii="宋体" w:hAnsi="宋体" w:cs="宋体"/>
                <w:color w:val="auto"/>
                <w:sz w:val="21"/>
                <w:szCs w:val="21"/>
                <w:highlight w:val="none"/>
              </w:rPr>
              <w:t>：</w:t>
            </w:r>
          </w:p>
          <w:p>
            <w:pPr>
              <w:ind w:firstLine="210" w:firstLineChars="100"/>
              <w:rPr>
                <w:rFonts w:hint="eastAsia" w:eastAsia="宋体"/>
                <w:sz w:val="21"/>
                <w:szCs w:val="21"/>
                <w:lang w:eastAsia="zh-CN"/>
              </w:rPr>
            </w:pPr>
            <w:r>
              <w:rPr>
                <w:sz w:val="21"/>
                <w:szCs w:val="21"/>
              </w:rPr>
              <w:t>E</w:t>
            </w:r>
            <w:r>
              <w:rPr>
                <w:rFonts w:hint="eastAsia"/>
                <w:sz w:val="21"/>
                <w:szCs w:val="21"/>
                <w:lang w:val="en-US" w:eastAsia="zh-CN"/>
              </w:rPr>
              <w:t>MS</w:t>
            </w:r>
            <w:r>
              <w:rPr>
                <w:sz w:val="21"/>
                <w:szCs w:val="21"/>
              </w:rPr>
              <w:t>：</w:t>
            </w:r>
            <w:bookmarkStart w:id="0" w:name="审核范围"/>
            <w:r>
              <w:rPr>
                <w:sz w:val="21"/>
                <w:szCs w:val="21"/>
              </w:rPr>
              <w:t>实木家具、钢木家具、金属家具、教学家具、软体家具、智能密集架、货架的销售所涉及场所的相关环境管理活动</w:t>
            </w:r>
            <w:bookmarkEnd w:id="0"/>
            <w:r>
              <w:rPr>
                <w:rFonts w:hint="eastAsia"/>
                <w:sz w:val="21"/>
                <w:szCs w:val="21"/>
                <w:lang w:eastAsia="zh-CN"/>
              </w:rPr>
              <w:t>。</w:t>
            </w:r>
          </w:p>
          <w:p>
            <w:pPr>
              <w:spacing w:line="360" w:lineRule="auto"/>
              <w:ind w:firstLine="210" w:firstLineChars="100"/>
              <w:jc w:val="left"/>
              <w:rPr>
                <w:rFonts w:hint="eastAsia" w:eastAsiaTheme="minorEastAsia"/>
                <w:sz w:val="21"/>
                <w:szCs w:val="21"/>
                <w:lang w:val="en-US" w:eastAsia="zh-CN"/>
              </w:rPr>
            </w:pPr>
            <w:r>
              <w:rPr>
                <w:rFonts w:hint="eastAsia"/>
                <w:sz w:val="21"/>
                <w:szCs w:val="21"/>
                <w:lang w:val="en-US" w:eastAsia="zh-CN"/>
              </w:rPr>
              <w:t>注册地址</w:t>
            </w:r>
            <w:bookmarkStart w:id="1" w:name="注册地址"/>
            <w:r>
              <w:rPr>
                <w:rFonts w:hint="eastAsia"/>
                <w:sz w:val="21"/>
                <w:szCs w:val="21"/>
                <w:lang w:val="en-US" w:eastAsia="zh-CN"/>
              </w:rPr>
              <w:t>：</w:t>
            </w:r>
            <w:r>
              <w:rPr>
                <w:rFonts w:asciiTheme="minorEastAsia" w:hAnsiTheme="minorEastAsia" w:eastAsiaTheme="minorEastAsia"/>
                <w:sz w:val="21"/>
                <w:szCs w:val="21"/>
              </w:rPr>
              <w:t>重庆市沙坪坝区渝碚路222号附4-8-1号</w:t>
            </w:r>
            <w:bookmarkEnd w:id="1"/>
            <w:r>
              <w:rPr>
                <w:rFonts w:hint="eastAsia" w:asciiTheme="minorEastAsia" w:hAnsiTheme="minorEastAsia" w:eastAsiaTheme="minorEastAsia"/>
                <w:sz w:val="21"/>
                <w:szCs w:val="21"/>
                <w:lang w:eastAsia="zh-CN"/>
              </w:rPr>
              <w:t>。</w:t>
            </w:r>
          </w:p>
          <w:p>
            <w:pPr>
              <w:spacing w:line="360" w:lineRule="auto"/>
              <w:ind w:firstLine="210" w:firstLineChars="100"/>
              <w:jc w:val="left"/>
              <w:rPr>
                <w:rFonts w:hint="default"/>
                <w:sz w:val="21"/>
                <w:szCs w:val="21"/>
                <w:lang w:val="en-US" w:eastAsia="zh-CN"/>
              </w:rPr>
            </w:pPr>
            <w:r>
              <w:rPr>
                <w:rFonts w:hint="eastAsia"/>
                <w:sz w:val="21"/>
                <w:szCs w:val="21"/>
                <w:lang w:val="en-US" w:eastAsia="zh-CN"/>
              </w:rPr>
              <w:t>经营地址：</w:t>
            </w:r>
            <w:bookmarkStart w:id="2" w:name="生产地址"/>
            <w:r>
              <w:rPr>
                <w:rFonts w:hint="eastAsia" w:eastAsia="宋体"/>
                <w:sz w:val="21"/>
                <w:szCs w:val="21"/>
                <w:lang w:val="en-US" w:eastAsia="zh-CN"/>
              </w:rPr>
              <w:t>重庆市沙坪坝区渝碚路222号3-9-4</w:t>
            </w:r>
            <w:bookmarkEnd w:id="2"/>
            <w:r>
              <w:rPr>
                <w:rFonts w:hint="eastAsia" w:eastAsia="宋体"/>
                <w:sz w:val="21"/>
                <w:szCs w:val="21"/>
                <w:lang w:val="en-US" w:eastAsia="zh-CN"/>
              </w:rPr>
              <w:t>，</w:t>
            </w:r>
            <w:r>
              <w:rPr>
                <w:rFonts w:hint="eastAsia"/>
                <w:sz w:val="21"/>
                <w:szCs w:val="21"/>
                <w:lang w:val="en-US" w:eastAsia="zh-CN"/>
              </w:rPr>
              <w:t>与审核任务书一致。</w:t>
            </w:r>
          </w:p>
          <w:p>
            <w:pPr>
              <w:ind w:firstLine="210" w:firstLineChars="100"/>
              <w:rPr>
                <w:rFonts w:ascii="Times New Roman" w:hAnsi="Times New Roman" w:cs="Times New Roman"/>
                <w:sz w:val="21"/>
                <w:szCs w:val="21"/>
                <w:highlight w:val="none"/>
              </w:rPr>
            </w:pPr>
            <w:r>
              <w:rPr>
                <w:rFonts w:hint="eastAsia" w:ascii="Times New Roman" w:hAnsi="Times New Roman" w:cs="Times New Roman"/>
                <w:sz w:val="21"/>
                <w:szCs w:val="21"/>
                <w:highlight w:val="none"/>
              </w:rPr>
              <w:t>经识别，组织依据标准的要求建立、实施、维护管理体系，符合标准要求。</w:t>
            </w:r>
          </w:p>
          <w:p>
            <w:pPr>
              <w:ind w:firstLine="210" w:firstLineChars="100"/>
              <w:rPr>
                <w:rFonts w:ascii="宋体" w:hAnsi="宋体" w:eastAsia="宋体" w:cs="宋体"/>
                <w:color w:val="auto"/>
                <w:kern w:val="2"/>
                <w:sz w:val="21"/>
                <w:szCs w:val="21"/>
                <w:lang w:val="en-US" w:eastAsia="zh-CN" w:bidi="ar-SA"/>
              </w:rPr>
            </w:pPr>
            <w:r>
              <w:rPr>
                <w:rFonts w:hint="eastAsia" w:ascii="Times New Roman" w:hAnsi="Times New Roman" w:cs="Times New Roman"/>
                <w:sz w:val="21"/>
                <w:szCs w:val="21"/>
                <w:highlight w:val="none"/>
              </w:rPr>
              <w:t>公司通过请咨询专</w:t>
            </w:r>
            <w:r>
              <w:rPr>
                <w:rFonts w:hint="eastAsia" w:ascii="Times New Roman" w:hAnsi="Times New Roman" w:cs="Times New Roman"/>
                <w:sz w:val="21"/>
                <w:szCs w:val="21"/>
              </w:rPr>
              <w:t>家到公司来宣传、培训、</w:t>
            </w:r>
            <w:r>
              <w:rPr>
                <w:rFonts w:hint="eastAsia" w:ascii="宋体" w:hAnsi="宋体" w:cs="宋体"/>
                <w:sz w:val="21"/>
                <w:szCs w:val="21"/>
              </w:rPr>
              <w:t>结合原已经形成的</w:t>
            </w:r>
            <w:r>
              <w:rPr>
                <w:rFonts w:hint="eastAsia" w:ascii="宋体" w:hAnsi="宋体" w:cs="宋体"/>
                <w:sz w:val="21"/>
                <w:szCs w:val="21"/>
                <w:lang w:eastAsia="zh-CN"/>
              </w:rPr>
              <w:t>环境</w:t>
            </w:r>
            <w:r>
              <w:rPr>
                <w:rFonts w:hint="eastAsia" w:ascii="宋体" w:hAnsi="宋体" w:cs="宋体"/>
                <w:sz w:val="21"/>
                <w:szCs w:val="21"/>
              </w:rPr>
              <w:t>管理体系文件，修订整合建立了</w:t>
            </w:r>
            <w:r>
              <w:rPr>
                <w:rFonts w:hint="eastAsia" w:ascii="宋体" w:hAnsi="宋体" w:cs="宋体"/>
                <w:sz w:val="21"/>
                <w:szCs w:val="21"/>
                <w:lang w:eastAsia="zh-CN"/>
              </w:rPr>
              <w:t>环境</w:t>
            </w:r>
            <w:r>
              <w:rPr>
                <w:rFonts w:hint="eastAsia" w:ascii="宋体" w:hAnsi="宋体" w:cs="宋体"/>
                <w:sz w:val="21"/>
                <w:szCs w:val="21"/>
              </w:rPr>
              <w:t>管理一体化的管理体系，以GB/T19001-2016标准为主线，以“过程方法”为基础，融入了GB/T24001-2016标准要求，并明确了过程顺序和相互作用以及过程有效运作和控制所需的准则和方法。</w:t>
            </w:r>
          </w:p>
        </w:tc>
        <w:tc>
          <w:tcPr>
            <w:tcW w:w="952"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160" w:type="dxa"/>
            <w:vAlign w:val="top"/>
          </w:tcPr>
          <w:p>
            <w:pPr>
              <w:spacing w:line="400" w:lineRule="exact"/>
              <w:jc w:val="both"/>
              <w:rPr>
                <w:rFonts w:hint="eastAsia" w:eastAsia="宋体"/>
                <w:color w:val="auto"/>
                <w:lang w:eastAsia="zh-CN"/>
              </w:rPr>
            </w:pPr>
            <w:r>
              <w:rPr>
                <w:rFonts w:hint="eastAsia"/>
                <w:color w:val="auto"/>
                <w:lang w:eastAsia="zh-CN"/>
              </w:rPr>
              <w:t>领导的作用</w:t>
            </w:r>
          </w:p>
        </w:tc>
        <w:tc>
          <w:tcPr>
            <w:tcW w:w="960" w:type="dxa"/>
            <w:vAlign w:val="top"/>
          </w:tcPr>
          <w:p>
            <w:pPr>
              <w:jc w:val="both"/>
              <w:rPr>
                <w:rFonts w:hint="default" w:eastAsia="宋体"/>
                <w:b/>
                <w:color w:val="auto"/>
                <w:lang w:val="en-US" w:eastAsia="zh-CN"/>
              </w:rPr>
            </w:pPr>
            <w:r>
              <w:rPr>
                <w:rFonts w:hint="eastAsia"/>
                <w:b/>
                <w:color w:val="auto"/>
                <w:lang w:val="en-US" w:eastAsia="zh-CN"/>
              </w:rPr>
              <w:t>5.1</w:t>
            </w:r>
          </w:p>
        </w:tc>
        <w:tc>
          <w:tcPr>
            <w:tcW w:w="10637" w:type="dxa"/>
            <w:vAlign w:val="top"/>
          </w:tcPr>
          <w:p>
            <w:pPr>
              <w:spacing w:line="400" w:lineRule="exact"/>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总经</w:t>
            </w:r>
            <w:r>
              <w:rPr>
                <w:rFonts w:hint="eastAsia" w:ascii="宋体" w:hAnsi="宋体" w:cs="宋体"/>
                <w:color w:val="auto"/>
                <w:sz w:val="21"/>
                <w:szCs w:val="21"/>
                <w:highlight w:val="none"/>
                <w:lang w:bidi="ar"/>
              </w:rPr>
              <w:t>理：</w:t>
            </w:r>
            <w:r>
              <w:rPr>
                <w:rFonts w:hint="eastAsia" w:ascii="宋体" w:hAnsi="宋体" w:cs="宋体"/>
                <w:color w:val="auto"/>
                <w:sz w:val="21"/>
                <w:szCs w:val="21"/>
                <w:highlight w:val="none"/>
                <w:lang w:eastAsia="zh-CN" w:bidi="ar"/>
              </w:rPr>
              <w:t>杨松</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管代：</w:t>
            </w:r>
            <w:r>
              <w:rPr>
                <w:rFonts w:hint="eastAsia" w:ascii="宋体" w:hAnsi="宋体" w:cs="宋体"/>
                <w:color w:val="auto"/>
                <w:sz w:val="21"/>
                <w:szCs w:val="21"/>
                <w:highlight w:val="none"/>
                <w:lang w:val="en-US" w:eastAsia="zh-CN" w:bidi="ar"/>
              </w:rPr>
              <w:t>罗琼</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2、制定和发布公司自身管理方针；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auto"/>
                <w:szCs w:val="24"/>
              </w:rPr>
            </w:pPr>
            <w:r>
              <w:rPr>
                <w:rFonts w:hint="eastAsia" w:ascii="宋体" w:hAnsi="宋体" w:cs="宋体"/>
                <w:color w:val="auto"/>
                <w:sz w:val="21"/>
                <w:szCs w:val="21"/>
                <w:lang w:bidi="ar"/>
              </w:rPr>
              <w:t>5、为确保建立、运行和持续改进管理体系所需的一切资源得到满足，公司提供了信息、技术、人力、设备、环境和资金等必要资源。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cs="宋体"/>
                <w:color w:val="auto"/>
                <w:sz w:val="21"/>
                <w:szCs w:val="21"/>
              </w:rPr>
              <w:t>方针</w:t>
            </w:r>
          </w:p>
        </w:tc>
        <w:tc>
          <w:tcPr>
            <w:tcW w:w="960" w:type="dxa"/>
            <w:vAlign w:val="top"/>
          </w:tcPr>
          <w:p>
            <w:pPr>
              <w:jc w:val="both"/>
              <w:rPr>
                <w:color w:val="auto"/>
              </w:rPr>
            </w:pPr>
            <w:r>
              <w:rPr>
                <w:rFonts w:hint="eastAsia"/>
                <w:b/>
                <w:color w:val="auto"/>
                <w:szCs w:val="22"/>
              </w:rPr>
              <w:t xml:space="preserve">5.2 </w:t>
            </w:r>
          </w:p>
        </w:tc>
        <w:tc>
          <w:tcPr>
            <w:tcW w:w="10637" w:type="dxa"/>
            <w:vAlign w:val="top"/>
          </w:tcPr>
          <w:p>
            <w:pPr>
              <w:rPr>
                <w:color w:val="auto"/>
                <w:szCs w:val="21"/>
              </w:rPr>
            </w:pPr>
            <w:r>
              <w:rPr>
                <w:color w:val="auto"/>
                <w:szCs w:val="21"/>
              </w:rPr>
              <w:t>环境方针为：</w:t>
            </w:r>
          </w:p>
          <w:p>
            <w:pPr>
              <w:ind w:firstLine="420" w:firstLineChars="200"/>
              <w:rPr>
                <w:rFonts w:hint="eastAsia"/>
                <w:color w:val="auto"/>
                <w:szCs w:val="21"/>
                <w:u w:val="none"/>
              </w:rPr>
            </w:pPr>
            <w:r>
              <w:rPr>
                <w:rFonts w:hint="eastAsia"/>
                <w:color w:val="auto"/>
                <w:szCs w:val="18"/>
                <w:u w:val="none"/>
                <w:lang w:val="en-US" w:eastAsia="zh-CN"/>
              </w:rPr>
              <w:t>防治污染、节能低耗、守法经营、持续发展</w:t>
            </w:r>
            <w:r>
              <w:rPr>
                <w:rFonts w:hint="eastAsia" w:ascii="宋体" w:hAnsi="宋体" w:cs="宋体"/>
                <w:color w:val="auto"/>
                <w:szCs w:val="21"/>
                <w:u w:val="none"/>
              </w:rPr>
              <w:t>。</w:t>
            </w:r>
          </w:p>
          <w:p>
            <w:pPr>
              <w:adjustRightInd w:val="0"/>
              <w:spacing w:line="360" w:lineRule="auto"/>
              <w:ind w:firstLine="420" w:firstLineChars="200"/>
              <w:rPr>
                <w:rFonts w:ascii="Arial" w:hAnsi="Arial" w:eastAsia="黑体"/>
                <w:b/>
                <w:bCs/>
                <w:color w:val="auto"/>
                <w:sz w:val="28"/>
                <w:szCs w:val="28"/>
              </w:rPr>
            </w:pPr>
            <w:r>
              <w:rPr>
                <w:rFonts w:hint="eastAsia" w:hAnsi="宋体"/>
                <w:color w:val="auto"/>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bidi="ar"/>
              </w:rPr>
              <w:t xml:space="preserve">    方针对外进行了发布。</w:t>
            </w:r>
          </w:p>
          <w:p>
            <w:pPr>
              <w:spacing w:line="400" w:lineRule="exact"/>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手册对方针的内涵进行了阐述，为目标制定及评审提供了框架，每年至少一次,在管理评审会议上讨论其适宜性和改进机会。</w:t>
            </w:r>
          </w:p>
          <w:p>
            <w:pPr>
              <w:widowControl/>
              <w:ind w:firstLine="420" w:firstLineChars="200"/>
              <w:jc w:val="left"/>
              <w:rPr>
                <w:color w:val="auto"/>
              </w:rPr>
            </w:pPr>
            <w:r>
              <w:rPr>
                <w:rFonts w:hint="eastAsia" w:ascii="宋体" w:hAnsi="宋体" w:cs="宋体"/>
                <w:color w:val="auto"/>
                <w:szCs w:val="21"/>
                <w:lang w:bidi="ar"/>
              </w:rPr>
              <w:t>企业的方针的内容和管理基本符合标准和法规要求。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top"/>
          </w:tcPr>
          <w:p>
            <w:pPr>
              <w:adjustRightInd w:val="0"/>
              <w:snapToGrid w:val="0"/>
              <w:jc w:val="both"/>
              <w:rPr>
                <w:rFonts w:hint="eastAsia" w:ascii="宋体" w:hAnsi="宋体" w:cs="宋体"/>
                <w:color w:val="auto"/>
                <w:sz w:val="21"/>
                <w:szCs w:val="21"/>
              </w:rPr>
            </w:pPr>
            <w:r>
              <w:rPr>
                <w:rFonts w:hint="eastAsia" w:ascii="宋体" w:hAnsi="宋体" w:cs="宋体"/>
                <w:color w:val="auto"/>
                <w:sz w:val="21"/>
                <w:szCs w:val="21"/>
              </w:rPr>
              <w:t>组织的角色、职责和权限；</w:t>
            </w:r>
          </w:p>
          <w:p>
            <w:pPr>
              <w:jc w:val="both"/>
              <w:rPr>
                <w:color w:val="auto"/>
              </w:rPr>
            </w:pPr>
          </w:p>
        </w:tc>
        <w:tc>
          <w:tcPr>
            <w:tcW w:w="960" w:type="dxa"/>
            <w:vAlign w:val="top"/>
          </w:tcPr>
          <w:p>
            <w:pPr>
              <w:jc w:val="both"/>
              <w:rPr>
                <w:color w:val="auto"/>
              </w:rPr>
            </w:pPr>
            <w:r>
              <w:rPr>
                <w:rFonts w:hint="eastAsia"/>
                <w:b/>
                <w:color w:val="auto"/>
                <w:szCs w:val="22"/>
              </w:rPr>
              <w:t>5.3</w:t>
            </w:r>
          </w:p>
        </w:tc>
        <w:tc>
          <w:tcPr>
            <w:tcW w:w="10637" w:type="dxa"/>
            <w:vAlign w:val="top"/>
          </w:tcPr>
          <w:p>
            <w:pPr>
              <w:adjustRightInd w:val="0"/>
              <w:snapToGrid w:val="0"/>
              <w:spacing w:line="400" w:lineRule="atLeast"/>
              <w:ind w:firstLine="420" w:firstLineChars="200"/>
              <w:jc w:val="left"/>
              <w:rPr>
                <w:color w:val="auto"/>
              </w:rPr>
            </w:pPr>
            <w:r>
              <w:rPr>
                <w:rFonts w:hint="eastAsia" w:ascii="宋体" w:hAnsi="宋体" w:cs="宋体"/>
                <w:color w:val="auto"/>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60" w:type="dxa"/>
            <w:vAlign w:val="top"/>
          </w:tcPr>
          <w:p>
            <w:pPr>
              <w:adjustRightInd w:val="0"/>
              <w:snapToGrid w:val="0"/>
              <w:rPr>
                <w:color w:val="auto"/>
              </w:rPr>
            </w:pPr>
            <w:r>
              <w:rPr>
                <w:rFonts w:hint="eastAsia" w:ascii="宋体" w:hAnsi="宋体" w:cs="宋体"/>
                <w:color w:val="auto"/>
                <w:szCs w:val="21"/>
              </w:rPr>
              <w:t>应对风险和机遇的措施；</w:t>
            </w:r>
          </w:p>
        </w:tc>
        <w:tc>
          <w:tcPr>
            <w:tcW w:w="960" w:type="dxa"/>
            <w:vAlign w:val="top"/>
          </w:tcPr>
          <w:p>
            <w:pPr>
              <w:rPr>
                <w:rFonts w:hint="default" w:eastAsia="宋体"/>
                <w:color w:val="auto"/>
                <w:lang w:val="en-US" w:eastAsia="zh-CN"/>
              </w:rPr>
            </w:pPr>
            <w:r>
              <w:rPr>
                <w:rFonts w:hint="eastAsia" w:ascii="宋体" w:hAnsi="宋体" w:cs="宋体"/>
                <w:color w:val="auto"/>
                <w:szCs w:val="21"/>
              </w:rPr>
              <w:t>E6.1</w:t>
            </w:r>
            <w:r>
              <w:rPr>
                <w:rFonts w:hint="eastAsia" w:ascii="宋体" w:hAnsi="宋体" w:cs="宋体"/>
                <w:color w:val="auto"/>
                <w:szCs w:val="21"/>
                <w:lang w:val="en-US" w:eastAsia="zh-CN"/>
              </w:rPr>
              <w:t>.1,E6.1.4</w:t>
            </w:r>
          </w:p>
        </w:tc>
        <w:tc>
          <w:tcPr>
            <w:tcW w:w="10637" w:type="dxa"/>
            <w:vAlign w:val="top"/>
          </w:tcPr>
          <w:p>
            <w:pPr>
              <w:tabs>
                <w:tab w:val="center" w:pos="3169"/>
              </w:tabs>
              <w:spacing w:line="400" w:lineRule="exact"/>
              <w:jc w:val="left"/>
            </w:pPr>
            <w:r>
              <w:rPr>
                <w:rFonts w:hint="eastAsia"/>
              </w:rPr>
              <w:t>提供有《</w:t>
            </w:r>
            <w:r>
              <w:rPr>
                <w:rFonts w:hint="eastAsia"/>
                <w:lang w:eastAsia="zh-CN"/>
              </w:rPr>
              <w:t>环境因素的识别与评价控制程序</w:t>
            </w:r>
            <w:r>
              <w:rPr>
                <w:rFonts w:hint="eastAsia"/>
              </w:rPr>
              <w:t>》，内容包括环境因素的识别、确认、汇总、评价和重要环境因素的确定、登记、清单发放及更新控制。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二</w:t>
            </w:r>
            <w:r>
              <w:rPr>
                <w:rFonts w:hint="eastAsia"/>
              </w:rPr>
              <w:t>项：</w:t>
            </w:r>
          </w:p>
          <w:p>
            <w:pPr>
              <w:pStyle w:val="14"/>
              <w:numPr>
                <w:ilvl w:val="0"/>
                <w:numId w:val="1"/>
              </w:numPr>
              <w:tabs>
                <w:tab w:val="center" w:pos="3169"/>
              </w:tabs>
              <w:spacing w:line="400" w:lineRule="exact"/>
              <w:ind w:firstLine="0" w:firstLineChars="0"/>
              <w:jc w:val="left"/>
              <w:rPr>
                <w:rFonts w:hint="eastAsia"/>
              </w:rPr>
            </w:pPr>
            <w:r>
              <w:rPr>
                <w:rFonts w:hint="eastAsia"/>
                <w:lang w:val="en-US" w:eastAsia="zh-CN"/>
              </w:rPr>
              <w:t>潜在火灾</w:t>
            </w:r>
            <w:r>
              <w:rPr>
                <w:rFonts w:hint="eastAsia"/>
              </w:rPr>
              <w:t>；</w:t>
            </w:r>
            <w:r>
              <w:rPr>
                <w:rFonts w:hint="eastAsia"/>
                <w:lang w:val="en-US" w:eastAsia="zh-CN"/>
              </w:rPr>
              <w:t>2、固废排放</w:t>
            </w:r>
            <w:r>
              <w:rPr>
                <w:rFonts w:hint="eastAsia"/>
              </w:rPr>
              <w:t>。</w:t>
            </w:r>
          </w:p>
          <w:p>
            <w:pPr>
              <w:pStyle w:val="14"/>
              <w:tabs>
                <w:tab w:val="center" w:pos="3169"/>
              </w:tabs>
              <w:spacing w:line="400" w:lineRule="exact"/>
              <w:ind w:firstLine="0" w:firstLineChars="0"/>
              <w:jc w:val="left"/>
              <w:rPr>
                <w:rFonts w:hint="eastAsia"/>
                <w:lang w:val="en-US" w:eastAsia="zh-CN"/>
              </w:rPr>
            </w:pPr>
            <w:r>
              <w:rPr>
                <w:rFonts w:hint="eastAsia"/>
                <w:lang w:val="en-US" w:eastAsia="zh-CN"/>
              </w:rPr>
              <w:t>抽查以下二项重要环境因素的管理措施：</w:t>
            </w:r>
          </w:p>
          <w:p>
            <w:pPr>
              <w:numPr>
                <w:ilvl w:val="0"/>
                <w:numId w:val="2"/>
              </w:numPr>
              <w:adjustRightInd w:val="0"/>
              <w:snapToGrid w:val="0"/>
              <w:spacing w:line="400" w:lineRule="atLeast"/>
              <w:jc w:val="left"/>
              <w:rPr>
                <w:rFonts w:hint="eastAsia"/>
                <w:lang w:val="en-US" w:eastAsia="zh-CN"/>
              </w:rPr>
            </w:pPr>
            <w:r>
              <w:rPr>
                <w:rFonts w:hint="eastAsia"/>
                <w:lang w:val="en-US" w:eastAsia="zh-CN"/>
              </w:rPr>
              <w:t>杜绝火灾：</w:t>
            </w:r>
          </w:p>
          <w:p>
            <w:pPr>
              <w:adjustRightInd w:val="0"/>
              <w:snapToGrid w:val="0"/>
              <w:spacing w:line="400" w:lineRule="atLeast"/>
              <w:jc w:val="left"/>
              <w:rPr>
                <w:rFonts w:hint="eastAsia" w:eastAsia="宋体"/>
                <w:lang w:val="en-US" w:eastAsia="zh-CN"/>
              </w:rPr>
            </w:pPr>
            <w:r>
              <w:rPr>
                <w:rFonts w:hint="eastAsia"/>
              </w:rPr>
              <w:t>1、</w:t>
            </w:r>
            <w:r>
              <w:rPr>
                <w:rFonts w:hint="eastAsia" w:ascii="宋体" w:hAnsi="宋体"/>
                <w:szCs w:val="24"/>
              </w:rPr>
              <w:t>配备漏电保护器等电器防护设备</w:t>
            </w:r>
            <w:r>
              <w:rPr>
                <w:rFonts w:hint="eastAsia" w:ascii="宋体" w:hAnsi="宋体"/>
                <w:szCs w:val="24"/>
                <w:lang w:val="en-US" w:eastAsia="zh-CN"/>
              </w:rPr>
              <w:t>；</w:t>
            </w:r>
          </w:p>
          <w:p>
            <w:pPr>
              <w:adjustRightInd w:val="0"/>
              <w:snapToGrid w:val="0"/>
              <w:spacing w:line="400" w:lineRule="atLeast"/>
              <w:jc w:val="left"/>
              <w:rPr>
                <w:rFonts w:hint="eastAsia"/>
              </w:rPr>
            </w:pPr>
            <w:r>
              <w:rPr>
                <w:rFonts w:hint="eastAsia"/>
              </w:rPr>
              <w:t>2、</w:t>
            </w:r>
            <w:r>
              <w:rPr>
                <w:rFonts w:hint="eastAsia" w:ascii="宋体" w:hAnsi="宋体"/>
                <w:szCs w:val="24"/>
              </w:rPr>
              <w:t>补充配置相应足够的消防器材、设备设施等</w:t>
            </w:r>
            <w:r>
              <w:rPr>
                <w:rFonts w:hint="eastAsia" w:ascii="宋体" w:hAnsi="宋体"/>
                <w:szCs w:val="24"/>
                <w:lang w:val="en-US" w:eastAsia="zh-CN"/>
              </w:rPr>
              <w:t>；</w:t>
            </w:r>
          </w:p>
          <w:p>
            <w:pPr>
              <w:adjustRightInd w:val="0"/>
              <w:snapToGrid w:val="0"/>
              <w:spacing w:line="400" w:lineRule="atLeast"/>
              <w:jc w:val="left"/>
              <w:rPr>
                <w:rFonts w:hint="eastAsia" w:ascii="宋体" w:hAnsi="宋体"/>
                <w:szCs w:val="24"/>
                <w:lang w:val="en-US" w:eastAsia="zh-CN"/>
              </w:rPr>
            </w:pPr>
            <w:r>
              <w:rPr>
                <w:rFonts w:hint="eastAsia"/>
              </w:rPr>
              <w:t>3、</w:t>
            </w:r>
            <w:r>
              <w:rPr>
                <w:rFonts w:hint="eastAsia" w:ascii="宋体" w:hAnsi="宋体"/>
                <w:szCs w:val="24"/>
              </w:rPr>
              <w:t>定期组织培训消防器材使用方法</w:t>
            </w:r>
            <w:r>
              <w:rPr>
                <w:rFonts w:hint="eastAsia" w:ascii="宋体" w:hAnsi="宋体"/>
                <w:szCs w:val="24"/>
                <w:lang w:val="en-US" w:eastAsia="zh-CN"/>
              </w:rPr>
              <w:t>；</w:t>
            </w:r>
          </w:p>
          <w:p>
            <w:pPr>
              <w:pStyle w:val="2"/>
              <w:rPr>
                <w:rFonts w:hint="eastAsia" w:ascii="宋体" w:hAnsi="宋体"/>
                <w:szCs w:val="24"/>
                <w:lang w:val="en-US" w:eastAsia="zh-CN"/>
              </w:rPr>
            </w:pPr>
            <w:r>
              <w:rPr>
                <w:rFonts w:hint="eastAsia" w:ascii="宋体" w:hAnsi="宋体"/>
                <w:szCs w:val="24"/>
                <w:lang w:val="en-US" w:eastAsia="zh-CN"/>
              </w:rPr>
              <w:t>4、</w:t>
            </w:r>
            <w:r>
              <w:rPr>
                <w:rFonts w:hint="eastAsia" w:ascii="宋体" w:hAnsi="宋体"/>
                <w:szCs w:val="24"/>
              </w:rPr>
              <w:t>对设备设施按公司要求定期安全检查</w:t>
            </w:r>
            <w:r>
              <w:rPr>
                <w:rFonts w:hint="eastAsia" w:ascii="宋体" w:hAnsi="宋体"/>
                <w:szCs w:val="24"/>
                <w:lang w:val="en-US" w:eastAsia="zh-CN"/>
              </w:rPr>
              <w:t>；</w:t>
            </w:r>
          </w:p>
          <w:p>
            <w:pPr>
              <w:pStyle w:val="2"/>
              <w:rPr>
                <w:rFonts w:hint="default" w:ascii="宋体" w:hAnsi="宋体"/>
                <w:szCs w:val="24"/>
                <w:lang w:val="en-US" w:eastAsia="zh-CN"/>
              </w:rPr>
            </w:pPr>
            <w:r>
              <w:rPr>
                <w:rFonts w:hint="eastAsia" w:ascii="宋体" w:hAnsi="宋体"/>
                <w:szCs w:val="24"/>
                <w:lang w:val="en-US" w:eastAsia="zh-CN"/>
              </w:rPr>
              <w:t>5、</w:t>
            </w:r>
            <w:r>
              <w:rPr>
                <w:rFonts w:hint="eastAsia" w:ascii="宋体" w:hAnsi="宋体"/>
                <w:szCs w:val="24"/>
              </w:rPr>
              <w:t>制定应急救援预案，(包括桌面演练)</w:t>
            </w:r>
          </w:p>
          <w:p>
            <w:pPr>
              <w:adjustRightInd w:val="0"/>
              <w:snapToGrid w:val="0"/>
              <w:spacing w:line="400" w:lineRule="atLeast"/>
              <w:jc w:val="left"/>
              <w:rPr>
                <w:rFonts w:hint="default"/>
                <w:lang w:val="en-US" w:eastAsia="zh-CN"/>
              </w:rPr>
            </w:pPr>
            <w:r>
              <w:rPr>
                <w:rFonts w:hint="eastAsia"/>
                <w:lang w:val="en-US" w:eastAsia="zh-CN"/>
              </w:rPr>
              <w:t>二、固废达标排放</w:t>
            </w:r>
          </w:p>
          <w:p>
            <w:pPr>
              <w:adjustRightInd w:val="0"/>
              <w:snapToGrid w:val="0"/>
              <w:spacing w:line="400" w:lineRule="atLeast"/>
              <w:jc w:val="left"/>
              <w:rPr>
                <w:rFonts w:hint="default"/>
                <w:lang w:val="en-US" w:eastAsia="zh-CN"/>
              </w:rPr>
            </w:pPr>
            <w:r>
              <w:rPr>
                <w:rFonts w:hint="eastAsia"/>
                <w:lang w:val="en-US" w:eastAsia="zh-CN"/>
              </w:rPr>
              <w:t>1、</w:t>
            </w:r>
            <w:r>
              <w:rPr>
                <w:rFonts w:hint="eastAsia" w:ascii="宋体" w:hAnsi="宋体"/>
                <w:szCs w:val="24"/>
              </w:rPr>
              <w:t>将打印机硒鼓，黑盒，日光灯，电池分类收集，交由有供应商单位处理</w:t>
            </w:r>
            <w:r>
              <w:rPr>
                <w:rFonts w:hint="eastAsia"/>
                <w:lang w:val="en-US" w:eastAsia="zh-CN"/>
              </w:rPr>
              <w:t>；</w:t>
            </w:r>
          </w:p>
          <w:p>
            <w:pPr>
              <w:adjustRightInd w:val="0"/>
              <w:snapToGrid w:val="0"/>
              <w:spacing w:line="400" w:lineRule="atLeast"/>
              <w:jc w:val="left"/>
              <w:rPr>
                <w:rFonts w:hint="default"/>
                <w:lang w:val="en-US" w:eastAsia="zh-CN"/>
              </w:rPr>
            </w:pPr>
            <w:r>
              <w:rPr>
                <w:rFonts w:hint="eastAsia"/>
                <w:lang w:val="en-US" w:eastAsia="zh-CN"/>
              </w:rPr>
              <w:t>2、</w:t>
            </w:r>
            <w:r>
              <w:rPr>
                <w:rFonts w:hint="eastAsia" w:ascii="宋体" w:hAnsi="宋体"/>
                <w:szCs w:val="24"/>
              </w:rPr>
              <w:t>使用过的复印纸可用反面作草稿纸再用一次，不能再使用的集中收集，作为废品卖掉；</w:t>
            </w:r>
          </w:p>
          <w:p>
            <w:pPr>
              <w:adjustRightInd w:val="0"/>
              <w:snapToGrid w:val="0"/>
              <w:spacing w:line="400" w:lineRule="atLeast"/>
              <w:jc w:val="left"/>
              <w:rPr>
                <w:rFonts w:hint="default"/>
                <w:lang w:val="en-US" w:eastAsia="zh-CN"/>
              </w:rPr>
            </w:pPr>
            <w:r>
              <w:rPr>
                <w:rFonts w:hint="eastAsia"/>
                <w:lang w:val="en-US" w:eastAsia="zh-CN"/>
              </w:rPr>
              <w:t>3、</w:t>
            </w:r>
            <w:r>
              <w:rPr>
                <w:rFonts w:hint="eastAsia" w:ascii="宋体" w:hAnsi="宋体"/>
                <w:szCs w:val="24"/>
              </w:rPr>
              <w:t>废旧报纸、纸箱、废旧文件（保密文件除外）等可作为废品卖掉。</w:t>
            </w:r>
          </w:p>
          <w:p>
            <w:pPr>
              <w:adjustRightInd w:val="0"/>
              <w:snapToGrid w:val="0"/>
              <w:spacing w:line="400" w:lineRule="atLeast"/>
              <w:jc w:val="left"/>
              <w:rPr>
                <w:rFonts w:ascii="宋体" w:hAnsi="宋体" w:eastAsia="宋体" w:cs="宋体"/>
                <w:color w:val="auto"/>
                <w:kern w:val="2"/>
                <w:sz w:val="21"/>
                <w:szCs w:val="21"/>
                <w:lang w:val="en-US" w:eastAsia="zh-CN" w:bidi="ar-SA"/>
              </w:rPr>
            </w:pPr>
            <w:r>
              <w:rPr>
                <w:rFonts w:hint="eastAsia" w:ascii="宋体" w:hAnsi="宋体"/>
                <w:color w:val="auto"/>
                <w:szCs w:val="21"/>
                <w:lang w:val="en-US" w:eastAsia="zh-CN"/>
              </w:rPr>
              <w:t>组织应对</w:t>
            </w:r>
            <w:r>
              <w:rPr>
                <w:rFonts w:hint="eastAsia" w:ascii="宋体" w:hAnsi="宋体" w:cs="宋体"/>
                <w:color w:val="auto"/>
                <w:szCs w:val="21"/>
              </w:rPr>
              <w:t>应对风险和机遇的措施</w:t>
            </w:r>
            <w:r>
              <w:rPr>
                <w:rFonts w:hint="eastAsia" w:ascii="宋体" w:hAnsi="宋体" w:cs="宋体"/>
                <w:color w:val="auto"/>
                <w:szCs w:val="21"/>
                <w:lang w:val="en-US" w:eastAsia="zh-CN"/>
              </w:rPr>
              <w:t>可行。</w:t>
            </w:r>
            <w:r>
              <w:rPr>
                <w:rFonts w:hint="eastAsia" w:ascii="宋体" w:hAnsi="宋体" w:cs="宋体"/>
                <w:color w:val="auto"/>
                <w:sz w:val="21"/>
                <w:szCs w:val="21"/>
                <w:lang w:bidi="ar"/>
              </w:rPr>
              <w:t xml:space="preserve">                      </w:t>
            </w:r>
          </w:p>
        </w:tc>
        <w:tc>
          <w:tcPr>
            <w:tcW w:w="952" w:type="dxa"/>
            <w:vAlign w:val="top"/>
          </w:tcPr>
          <w:p>
            <w:pPr>
              <w:rPr>
                <w:rFonts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top"/>
          </w:tcPr>
          <w:p>
            <w:pPr>
              <w:jc w:val="both"/>
              <w:rPr>
                <w:color w:val="auto"/>
              </w:rPr>
            </w:pPr>
            <w:r>
              <w:rPr>
                <w:rFonts w:hint="eastAsia" w:ascii="宋体" w:hAnsi="宋体"/>
                <w:color w:val="auto"/>
                <w:sz w:val="21"/>
                <w:szCs w:val="21"/>
              </w:rPr>
              <w:t>目标及其实现的策划</w:t>
            </w:r>
          </w:p>
        </w:tc>
        <w:tc>
          <w:tcPr>
            <w:tcW w:w="960" w:type="dxa"/>
            <w:vAlign w:val="top"/>
          </w:tcPr>
          <w:p>
            <w:pPr>
              <w:jc w:val="both"/>
              <w:rPr>
                <w:color w:val="auto"/>
              </w:rPr>
            </w:pPr>
            <w:r>
              <w:rPr>
                <w:rFonts w:hint="eastAsia" w:ascii="宋体" w:hAnsi="宋体"/>
                <w:b/>
                <w:bCs/>
                <w:color w:val="auto"/>
                <w:sz w:val="21"/>
                <w:szCs w:val="21"/>
              </w:rPr>
              <w:t>6.2</w:t>
            </w:r>
          </w:p>
        </w:tc>
        <w:tc>
          <w:tcPr>
            <w:tcW w:w="10637" w:type="dxa"/>
            <w:vAlign w:val="top"/>
          </w:tcPr>
          <w:p>
            <w:pPr>
              <w:spacing w:line="400" w:lineRule="exact"/>
              <w:rPr>
                <w:rFonts w:hint="eastAsia" w:ascii="宋体" w:hAnsi="宋体" w:cs="Times New Roman"/>
                <w:color w:val="auto"/>
                <w:sz w:val="21"/>
                <w:szCs w:val="21"/>
              </w:rPr>
            </w:pPr>
            <w:r>
              <w:rPr>
                <w:rFonts w:hint="eastAsia" w:ascii="宋体" w:hAnsi="宋体"/>
                <w:color w:val="auto"/>
                <w:sz w:val="21"/>
                <w:szCs w:val="21"/>
              </w:rPr>
              <w:t>环</w:t>
            </w:r>
            <w:r>
              <w:rPr>
                <w:rFonts w:hint="eastAsia" w:ascii="宋体" w:hAnsi="宋体" w:cs="Times New Roman"/>
                <w:color w:val="auto"/>
                <w:sz w:val="21"/>
                <w:szCs w:val="21"/>
              </w:rPr>
              <w:t>境目标：</w:t>
            </w:r>
          </w:p>
          <w:p>
            <w:pPr>
              <w:numPr>
                <w:ilvl w:val="0"/>
                <w:numId w:val="0"/>
              </w:numPr>
              <w:spacing w:line="400" w:lineRule="exact"/>
              <w:rPr>
                <w:rFonts w:hint="eastAsia" w:ascii="宋体" w:hAnsi="宋体" w:cs="Times New Roman"/>
                <w:color w:val="auto"/>
                <w:sz w:val="21"/>
                <w:szCs w:val="21"/>
                <w:lang w:eastAsia="zh-CN"/>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危险废废弃物100%回收管理</w:t>
            </w:r>
          </w:p>
          <w:p>
            <w:pPr>
              <w:numPr>
                <w:ilvl w:val="0"/>
                <w:numId w:val="0"/>
              </w:numPr>
              <w:spacing w:line="400" w:lineRule="exact"/>
              <w:rPr>
                <w:rFonts w:hint="eastAsia" w:ascii="宋体" w:hAnsi="宋体" w:eastAsia="宋体" w:cs="Times New Roman"/>
                <w:color w:val="auto"/>
                <w:sz w:val="21"/>
                <w:szCs w:val="21"/>
                <w:lang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火灾发生次数为0</w:t>
            </w:r>
            <w:r>
              <w:rPr>
                <w:rFonts w:hint="eastAsia" w:ascii="宋体" w:hAnsi="宋体" w:cs="Times New Roman"/>
                <w:color w:val="auto"/>
                <w:sz w:val="21"/>
                <w:szCs w:val="21"/>
              </w:rPr>
              <w:t>；</w:t>
            </w:r>
          </w:p>
          <w:p>
            <w:pPr>
              <w:pStyle w:val="6"/>
              <w:spacing w:line="400" w:lineRule="exact"/>
              <w:rPr>
                <w:rFonts w:hint="eastAsia" w:ascii="宋体" w:hAnsi="宋体"/>
                <w:color w:val="auto"/>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环境目标统计表</w:t>
            </w:r>
            <w:r>
              <w:rPr>
                <w:rFonts w:hint="eastAsia" w:ascii="宋体" w:hAnsi="宋体"/>
                <w:color w:val="auto"/>
                <w:kern w:val="2"/>
                <w:sz w:val="21"/>
                <w:szCs w:val="21"/>
              </w:rPr>
              <w:t>》</w:t>
            </w:r>
            <w:r>
              <w:rPr>
                <w:rFonts w:hint="eastAsia" w:ascii="宋体" w:hAnsi="宋体"/>
                <w:color w:val="auto"/>
                <w:kern w:val="2"/>
                <w:sz w:val="21"/>
                <w:szCs w:val="21"/>
                <w:lang w:eastAsia="zh-CN"/>
              </w:rPr>
              <w:t>2021年</w:t>
            </w:r>
            <w:r>
              <w:rPr>
                <w:rFonts w:hint="eastAsia" w:ascii="宋体" w:hAnsi="宋体"/>
                <w:color w:val="auto"/>
                <w:kern w:val="2"/>
                <w:sz w:val="21"/>
                <w:szCs w:val="21"/>
                <w:lang w:val="en-US" w:eastAsia="zh-CN"/>
              </w:rPr>
              <w:t>12月</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2022年8</w:t>
            </w:r>
            <w:r>
              <w:rPr>
                <w:rFonts w:hint="eastAsia" w:ascii="宋体" w:hAnsi="宋体"/>
                <w:color w:val="auto"/>
                <w:kern w:val="2"/>
                <w:sz w:val="21"/>
                <w:szCs w:val="21"/>
                <w:lang w:eastAsia="zh-CN"/>
              </w:rPr>
              <w:t>月</w:t>
            </w:r>
            <w:r>
              <w:rPr>
                <w:rFonts w:hint="eastAsia" w:ascii="宋体" w:hAnsi="宋体"/>
                <w:color w:val="auto"/>
                <w:kern w:val="2"/>
                <w:sz w:val="21"/>
                <w:szCs w:val="21"/>
                <w:lang w:val="en-US" w:eastAsia="zh-CN"/>
              </w:rPr>
              <w:t>度</w:t>
            </w:r>
            <w:r>
              <w:rPr>
                <w:rFonts w:hint="eastAsia" w:ascii="宋体" w:hAnsi="宋体"/>
                <w:color w:val="auto"/>
                <w:kern w:val="2"/>
                <w:sz w:val="21"/>
                <w:szCs w:val="21"/>
              </w:rPr>
              <w:t>对目标进行考核，考核情况为：</w:t>
            </w:r>
            <w:r>
              <w:rPr>
                <w:rFonts w:hint="eastAsia" w:ascii="宋体" w:hAnsi="宋体"/>
                <w:color w:val="auto"/>
                <w:sz w:val="21"/>
                <w:szCs w:val="21"/>
              </w:rPr>
              <w:t xml:space="preserve"> </w:t>
            </w:r>
          </w:p>
          <w:p>
            <w:pPr>
              <w:spacing w:line="400" w:lineRule="exact"/>
              <w:rPr>
                <w:rFonts w:hint="default" w:ascii="宋体" w:hAnsi="宋体" w:cs="Times New Roman"/>
                <w:color w:val="auto"/>
                <w:sz w:val="21"/>
                <w:szCs w:val="21"/>
                <w:lang w:val="en-US"/>
              </w:rPr>
            </w:pPr>
            <w:r>
              <w:rPr>
                <w:rFonts w:hint="eastAsia" w:ascii="宋体" w:hAnsi="宋体" w:cs="Times New Roman"/>
                <w:color w:val="auto"/>
                <w:sz w:val="21"/>
                <w:szCs w:val="21"/>
                <w:lang w:val="en-US" w:eastAsia="zh-CN"/>
              </w:rPr>
              <w:t>1</w:t>
            </w:r>
            <w:r>
              <w:rPr>
                <w:rFonts w:hint="eastAsia" w:ascii="宋体" w:hAnsi="宋体" w:cs="Times New Roman"/>
                <w:color w:val="auto"/>
                <w:sz w:val="21"/>
                <w:szCs w:val="21"/>
              </w:rPr>
              <w:t>、</w:t>
            </w:r>
            <w:r>
              <w:rPr>
                <w:rFonts w:hint="eastAsia" w:ascii="宋体" w:hAnsi="宋体" w:cs="Times New Roman"/>
                <w:color w:val="auto"/>
                <w:sz w:val="21"/>
                <w:szCs w:val="21"/>
                <w:lang w:eastAsia="zh-CN"/>
              </w:rPr>
              <w:t>危险废废弃物100%回收管理</w:t>
            </w:r>
            <w:r>
              <w:rPr>
                <w:rFonts w:hint="eastAsia" w:ascii="宋体" w:hAnsi="宋体" w:cs="Times New Roman"/>
                <w:color w:val="auto"/>
                <w:sz w:val="21"/>
                <w:szCs w:val="21"/>
                <w:lang w:val="en-US" w:eastAsia="zh-CN"/>
              </w:rPr>
              <w:t xml:space="preserve">        实测：100%</w:t>
            </w:r>
          </w:p>
          <w:p>
            <w:pPr>
              <w:tabs>
                <w:tab w:val="left" w:pos="3333"/>
              </w:tabs>
              <w:spacing w:line="400" w:lineRule="exact"/>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w:t>
            </w:r>
            <w:r>
              <w:rPr>
                <w:rFonts w:hint="eastAsia" w:ascii="宋体" w:hAnsi="宋体" w:cs="Times New Roman"/>
                <w:color w:val="auto"/>
                <w:sz w:val="21"/>
                <w:szCs w:val="21"/>
                <w:lang w:eastAsia="zh-CN"/>
              </w:rPr>
              <w:t>火灾发生次数为0</w:t>
            </w:r>
            <w:r>
              <w:rPr>
                <w:rFonts w:hint="eastAsia" w:ascii="宋体" w:hAnsi="宋体" w:cs="Times New Roman"/>
                <w:color w:val="auto"/>
                <w:sz w:val="21"/>
                <w:szCs w:val="21"/>
              </w:rPr>
              <w:t>；</w:t>
            </w:r>
            <w:r>
              <w:rPr>
                <w:rFonts w:hint="eastAsia" w:ascii="宋体" w:hAnsi="宋体" w:cs="Times New Roman"/>
                <w:color w:val="auto"/>
                <w:sz w:val="21"/>
                <w:szCs w:val="21"/>
                <w:lang w:eastAsia="zh-CN"/>
              </w:rPr>
              <w:tab/>
            </w:r>
            <w:r>
              <w:rPr>
                <w:rFonts w:hint="eastAsia" w:ascii="宋体" w:hAnsi="宋体" w:cs="Times New Roman"/>
                <w:color w:val="auto"/>
                <w:sz w:val="21"/>
                <w:szCs w:val="21"/>
                <w:lang w:val="en-US" w:eastAsia="zh-CN"/>
              </w:rPr>
              <w:t xml:space="preserve">   实测：零</w:t>
            </w:r>
          </w:p>
          <w:p>
            <w:pPr>
              <w:spacing w:line="400" w:lineRule="exact"/>
              <w:rPr>
                <w:color w:val="auto"/>
              </w:rPr>
            </w:pPr>
            <w:r>
              <w:rPr>
                <w:rFonts w:hint="eastAsia"/>
                <w:color w:val="auto"/>
                <w:sz w:val="21"/>
                <w:szCs w:val="21"/>
              </w:rPr>
              <w:t>对固废的排放等</w:t>
            </w:r>
            <w:r>
              <w:rPr>
                <w:rFonts w:hint="eastAsia" w:ascii="宋体" w:hAnsi="宋体"/>
                <w:color w:val="auto"/>
                <w:sz w:val="21"/>
                <w:szCs w:val="21"/>
              </w:rPr>
              <w:t>拟定有管理方案实施控制。</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vAlign w:val="top"/>
          </w:tcPr>
          <w:p>
            <w:pPr>
              <w:adjustRightInd w:val="0"/>
              <w:snapToGrid w:val="0"/>
              <w:jc w:val="left"/>
              <w:rPr>
                <w:color w:val="auto"/>
                <w:highlight w:val="none"/>
              </w:rPr>
            </w:pPr>
            <w:r>
              <w:rPr>
                <w:rFonts w:hint="eastAsia" w:ascii="宋体" w:hAnsi="宋体"/>
                <w:color w:val="auto"/>
                <w:sz w:val="21"/>
                <w:szCs w:val="21"/>
                <w:highlight w:val="none"/>
              </w:rPr>
              <w:t>监测、分析和评价总则；</w:t>
            </w:r>
          </w:p>
        </w:tc>
        <w:tc>
          <w:tcPr>
            <w:tcW w:w="960"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637" w:type="dxa"/>
            <w:vAlign w:val="top"/>
          </w:tcPr>
          <w:p>
            <w:r>
              <w:rPr>
                <w:rFonts w:hint="eastAsia"/>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rPr>
            </w:pPr>
            <w:r>
              <w:rPr>
                <w:rFonts w:hint="eastAsia"/>
              </w:rPr>
              <w:t>如：</w:t>
            </w:r>
          </w:p>
          <w:p>
            <w:pPr>
              <w:rPr>
                <w:rFonts w:hint="eastAsia"/>
              </w:rPr>
            </w:pPr>
            <w:r>
              <w:rPr>
                <w:rFonts w:hint="eastAsia"/>
              </w:rPr>
              <w:t>（1）《</w:t>
            </w:r>
            <w:r>
              <w:rPr>
                <w:rFonts w:hint="eastAsia"/>
                <w:lang w:val="zh-CN"/>
              </w:rPr>
              <w:t>合规性评价控制规范</w:t>
            </w:r>
            <w:r>
              <w:rPr>
                <w:rFonts w:hint="eastAsia"/>
              </w:rPr>
              <w:t>》</w:t>
            </w:r>
          </w:p>
          <w:p>
            <w:pPr>
              <w:rPr>
                <w:rFonts w:hint="eastAsia"/>
                <w:lang w:eastAsia="zh-CN"/>
              </w:rPr>
            </w:pPr>
            <w:r>
              <w:rPr>
                <w:rFonts w:hint="eastAsia"/>
              </w:rPr>
              <w:t>（2）《</w:t>
            </w:r>
            <w:r>
              <w:rPr>
                <w:rFonts w:hint="eastAsia"/>
                <w:lang w:eastAsia="zh-CN"/>
              </w:rPr>
              <w:t>内部审核控制规范》</w:t>
            </w:r>
          </w:p>
          <w:p>
            <w:pPr>
              <w:rPr>
                <w:rFonts w:hint="eastAsia"/>
              </w:rPr>
            </w:pPr>
            <w:r>
              <w:rPr>
                <w:rFonts w:hint="eastAsia"/>
              </w:rPr>
              <w:t>（3）《</w:t>
            </w:r>
            <w:r>
              <w:rPr>
                <w:rFonts w:hint="eastAsia"/>
                <w:lang w:eastAsia="zh-CN"/>
              </w:rPr>
              <w:t>管理评审控制规范</w:t>
            </w:r>
            <w:r>
              <w:rPr>
                <w:rFonts w:hint="eastAsia"/>
              </w:rPr>
              <w:t>》</w:t>
            </w:r>
          </w:p>
          <w:p>
            <w:pPr>
              <w:rPr>
                <w:rFonts w:hint="eastAsia"/>
              </w:rPr>
            </w:pPr>
            <w:r>
              <w:rPr>
                <w:rFonts w:hint="eastAsia"/>
              </w:rPr>
              <w:t>（4）《</w:t>
            </w:r>
            <w:r>
              <w:rPr>
                <w:rFonts w:hint="eastAsia"/>
                <w:lang w:eastAsia="zh-CN"/>
              </w:rPr>
              <w:t>不符合纠正措施控制规范</w:t>
            </w:r>
            <w:r>
              <w:rPr>
                <w:rFonts w:hint="eastAsia"/>
              </w:rPr>
              <w:t>》</w:t>
            </w:r>
          </w:p>
          <w:p>
            <w:pPr>
              <w:pStyle w:val="13"/>
            </w:pPr>
            <w:r>
              <w:rPr>
                <w:rFonts w:hint="eastAsia" w:ascii="Times New Roman" w:hAnsi="Times New Roman" w:eastAsia="宋体" w:cs="Times New Roman"/>
                <w:color w:val="auto"/>
                <w:kern w:val="2"/>
                <w:sz w:val="21"/>
                <w:szCs w:val="20"/>
                <w:lang w:val="en-US" w:eastAsia="zh-CN" w:bidi="ar-SA"/>
              </w:rPr>
              <w:t>查，提供有目标测量、内审报告、管理评审报告、合规性评价等记录，符合策划要求。</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60" w:type="dxa"/>
            <w:vAlign w:val="top"/>
          </w:tcPr>
          <w:p>
            <w:pPr>
              <w:jc w:val="both"/>
              <w:rPr>
                <w:color w:val="auto"/>
              </w:rPr>
            </w:pPr>
            <w:r>
              <w:rPr>
                <w:rFonts w:hint="eastAsia" w:ascii="宋体" w:hAnsi="宋体" w:cs="宋体"/>
                <w:color w:val="auto"/>
                <w:sz w:val="21"/>
                <w:szCs w:val="21"/>
              </w:rPr>
              <w:t>管理评审</w:t>
            </w:r>
          </w:p>
        </w:tc>
        <w:tc>
          <w:tcPr>
            <w:tcW w:w="960" w:type="dxa"/>
            <w:vAlign w:val="top"/>
          </w:tcPr>
          <w:p>
            <w:pPr>
              <w:rPr>
                <w:rFonts w:hint="eastAsia" w:ascii="宋体" w:hAnsi="宋体" w:cs="宋体"/>
                <w:b/>
                <w:bCs/>
                <w:color w:val="auto"/>
                <w:sz w:val="21"/>
                <w:szCs w:val="21"/>
              </w:rPr>
            </w:pPr>
            <w:r>
              <w:rPr>
                <w:rFonts w:hint="eastAsia" w:ascii="宋体" w:hAnsi="宋体" w:cs="宋体"/>
                <w:b/>
                <w:bCs/>
                <w:color w:val="auto"/>
                <w:sz w:val="21"/>
                <w:szCs w:val="21"/>
              </w:rPr>
              <w:t xml:space="preserve">9.3  </w:t>
            </w:r>
          </w:p>
          <w:p>
            <w:pPr>
              <w:rPr>
                <w:color w:val="auto"/>
              </w:rPr>
            </w:pPr>
          </w:p>
        </w:tc>
        <w:tc>
          <w:tcPr>
            <w:tcW w:w="10637" w:type="dxa"/>
            <w:vAlign w:val="top"/>
          </w:tcPr>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查，公司管理手册，规定了管理评审的要求：管理评审的主持人、时间频率、管理评审的输入、输出等。公司制定了“</w:t>
            </w:r>
            <w:r>
              <w:rPr>
                <w:rFonts w:hint="eastAsia" w:ascii="宋体" w:hAnsi="宋体" w:cs="宋体"/>
                <w:color w:val="auto"/>
                <w:sz w:val="21"/>
                <w:szCs w:val="21"/>
                <w:lang w:eastAsia="zh-CN" w:bidi="ar"/>
              </w:rPr>
              <w:t>管理评审控制规范</w:t>
            </w:r>
            <w:r>
              <w:rPr>
                <w:rFonts w:hint="eastAsia" w:ascii="宋体" w:hAnsi="宋体" w:cs="宋体"/>
                <w:color w:val="auto"/>
                <w:sz w:val="21"/>
                <w:szCs w:val="21"/>
                <w:lang w:bidi="ar"/>
              </w:rPr>
              <w:t>”,规定每年至少进行一次管理评审，每次时间间隔不超过12个月</w:t>
            </w:r>
          </w:p>
          <w:p>
            <w:pPr>
              <w:spacing w:line="360" w:lineRule="atLeas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w:t>
            </w:r>
            <w:r>
              <w:rPr>
                <w:rFonts w:hint="eastAsia" w:ascii="宋体" w:hAnsi="宋体" w:cs="宋体"/>
                <w:color w:val="auto"/>
                <w:sz w:val="21"/>
                <w:szCs w:val="21"/>
                <w:lang w:val="en-US" w:eastAsia="zh-CN" w:bidi="ar"/>
              </w:rPr>
              <w:t>2</w:t>
            </w:r>
            <w:r>
              <w:rPr>
                <w:rFonts w:hint="eastAsia" w:ascii="宋体" w:hAnsi="宋体" w:eastAsia="宋体" w:cs="宋体"/>
                <w:color w:val="auto"/>
                <w:sz w:val="21"/>
                <w:szCs w:val="21"/>
                <w:lang w:bidi="ar"/>
              </w:rPr>
              <w:t>年</w:t>
            </w:r>
            <w:r>
              <w:rPr>
                <w:rFonts w:hint="eastAsia" w:ascii="宋体" w:hAnsi="宋体" w:cs="宋体"/>
                <w:color w:val="auto"/>
                <w:sz w:val="21"/>
                <w:szCs w:val="21"/>
                <w:lang w:val="en-US" w:eastAsia="zh-CN" w:bidi="ar"/>
              </w:rPr>
              <w:t>7</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日</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上次内部审核时间</w:t>
            </w:r>
            <w:r>
              <w:rPr>
                <w:rFonts w:hint="eastAsia" w:ascii="宋体" w:hAnsi="宋体" w:eastAsia="宋体" w:cs="宋体"/>
                <w:color w:val="auto"/>
                <w:sz w:val="21"/>
                <w:szCs w:val="21"/>
                <w:lang w:eastAsia="zh-CN" w:bidi="ar"/>
              </w:rPr>
              <w:t>20</w:t>
            </w:r>
            <w:r>
              <w:rPr>
                <w:rFonts w:hint="eastAsia" w:ascii="宋体" w:hAnsi="宋体" w:eastAsia="宋体" w:cs="宋体"/>
                <w:color w:val="auto"/>
                <w:sz w:val="21"/>
                <w:szCs w:val="21"/>
                <w:lang w:val="en-US" w:eastAsia="zh-CN" w:bidi="ar"/>
              </w:rPr>
              <w:t>21</w:t>
            </w:r>
            <w:r>
              <w:rPr>
                <w:rFonts w:hint="eastAsia" w:ascii="宋体" w:hAnsi="宋体" w:eastAsia="宋体" w:cs="宋体"/>
                <w:color w:val="auto"/>
                <w:sz w:val="21"/>
                <w:szCs w:val="21"/>
                <w:lang w:bidi="ar"/>
              </w:rPr>
              <w:t>年</w:t>
            </w:r>
            <w:r>
              <w:rPr>
                <w:rFonts w:hint="eastAsia" w:ascii="宋体" w:hAnsi="宋体" w:eastAsia="宋体" w:cs="宋体"/>
                <w:color w:val="auto"/>
                <w:sz w:val="21"/>
                <w:szCs w:val="21"/>
                <w:lang w:val="en-US" w:eastAsia="zh-CN" w:bidi="ar"/>
              </w:rPr>
              <w:t>8</w:t>
            </w:r>
            <w:r>
              <w:rPr>
                <w:rFonts w:hint="eastAsia" w:ascii="宋体" w:hAnsi="宋体" w:eastAsia="宋体" w:cs="宋体"/>
                <w:color w:val="auto"/>
                <w:sz w:val="21"/>
                <w:szCs w:val="21"/>
                <w:lang w:bidi="ar"/>
              </w:rPr>
              <w:t>月</w:t>
            </w:r>
            <w:r>
              <w:rPr>
                <w:rFonts w:hint="eastAsia" w:ascii="宋体" w:hAnsi="宋体" w:eastAsia="宋体" w:cs="宋体"/>
                <w:color w:val="auto"/>
                <w:sz w:val="21"/>
                <w:szCs w:val="21"/>
                <w:lang w:val="en-US" w:eastAsia="zh-CN" w:bidi="ar"/>
              </w:rPr>
              <w:t>25</w:t>
            </w:r>
            <w:r>
              <w:rPr>
                <w:rFonts w:hint="eastAsia" w:ascii="宋体" w:hAnsi="宋体" w:eastAsia="宋体" w:cs="宋体"/>
                <w:color w:val="auto"/>
                <w:sz w:val="21"/>
                <w:szCs w:val="21"/>
                <w:lang w:bidi="ar"/>
              </w:rPr>
              <w:t>日</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时间间隔</w:t>
            </w:r>
            <w:r>
              <w:rPr>
                <w:rFonts w:hint="eastAsia" w:ascii="宋体" w:hAnsi="宋体" w:cs="宋体"/>
                <w:color w:val="auto"/>
                <w:sz w:val="21"/>
                <w:szCs w:val="21"/>
                <w:lang w:val="en-US" w:eastAsia="zh-CN" w:bidi="ar"/>
              </w:rPr>
              <w:t>未</w:t>
            </w:r>
            <w:r>
              <w:rPr>
                <w:rFonts w:hint="eastAsia" w:ascii="宋体" w:hAnsi="宋体" w:cs="宋体"/>
                <w:color w:val="auto"/>
                <w:sz w:val="21"/>
                <w:szCs w:val="21"/>
                <w:lang w:bidi="ar"/>
              </w:rPr>
              <w:t>超过12个月</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策划符合标准要求）</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主持人：总经理</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参加人员：体系涉及到的各部门所有有人员</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评审输入内容：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eastAsia="宋体" w:cs="宋体"/>
                <w:color w:val="auto"/>
                <w:sz w:val="21"/>
                <w:szCs w:val="21"/>
                <w:lang w:bidi="ar"/>
              </w:rPr>
            </w:pPr>
            <w:r>
              <w:rPr>
                <w:rFonts w:hint="eastAsia" w:ascii="宋体" w:hAnsi="宋体" w:cs="宋体"/>
                <w:color w:val="auto"/>
                <w:sz w:val="21"/>
                <w:szCs w:val="21"/>
                <w:lang w:bidi="ar"/>
              </w:rPr>
              <w:t>实施与运行情况的评审（包括资源提供、文件控制）</w:t>
            </w:r>
            <w:r>
              <w:rPr>
                <w:rFonts w:hint="eastAsia" w:ascii="宋体" w:hAnsi="宋体" w:eastAsia="宋体" w:cs="宋体"/>
                <w:color w:val="auto"/>
                <w:sz w:val="21"/>
                <w:szCs w:val="21"/>
                <w:lang w:bidi="ar"/>
              </w:rPr>
              <w:t>；</w:t>
            </w:r>
          </w:p>
          <w:p>
            <w:pPr>
              <w:numPr>
                <w:ilvl w:val="0"/>
                <w:numId w:val="3"/>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体系绩效测量和监视（包括目标达成情况、内审审核）；</w:t>
            </w:r>
          </w:p>
          <w:p>
            <w:pPr>
              <w:numPr>
                <w:ilvl w:val="0"/>
                <w:numId w:val="3"/>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相关</w:t>
            </w:r>
            <w:r>
              <w:rPr>
                <w:rFonts w:hint="eastAsia" w:ascii="宋体" w:hAnsi="宋体" w:eastAsia="宋体" w:cs="宋体"/>
                <w:color w:val="auto"/>
                <w:sz w:val="21"/>
                <w:szCs w:val="21"/>
                <w:lang w:val="en-US" w:eastAsia="zh-CN" w:bidi="ar"/>
              </w:rPr>
              <w:t>方</w:t>
            </w:r>
            <w:r>
              <w:rPr>
                <w:rFonts w:hint="eastAsia" w:ascii="宋体" w:hAnsi="宋体" w:eastAsia="宋体" w:cs="宋体"/>
                <w:color w:val="auto"/>
                <w:sz w:val="21"/>
                <w:szCs w:val="21"/>
                <w:lang w:bidi="ar"/>
              </w:rPr>
              <w:t>关注</w:t>
            </w:r>
          </w:p>
          <w:p>
            <w:pPr>
              <w:numPr>
                <w:ilvl w:val="0"/>
                <w:numId w:val="3"/>
              </w:numPr>
              <w:spacing w:line="360" w:lineRule="atLeast"/>
              <w:ind w:left="0" w:firstLine="0"/>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可能影响管理体系的变更，包括内外环境的变化，如法律、法规的变化等</w:t>
            </w:r>
          </w:p>
          <w:p>
            <w:pPr>
              <w:spacing w:line="400" w:lineRule="exact"/>
              <w:ind w:firstLine="388" w:firstLineChars="185"/>
              <w:rPr>
                <w:rFonts w:hint="eastAsia" w:ascii="宋体" w:hAnsi="宋体"/>
                <w:color w:val="000000"/>
                <w:sz w:val="24"/>
              </w:rPr>
            </w:pPr>
            <w:r>
              <w:rPr>
                <w:rFonts w:hint="eastAsia" w:ascii="宋体" w:hAnsi="宋体" w:cs="宋体"/>
                <w:color w:val="auto"/>
                <w:sz w:val="21"/>
                <w:szCs w:val="21"/>
                <w:lang w:bidi="ar"/>
              </w:rPr>
              <w:t>改进的建</w:t>
            </w:r>
            <w:r>
              <w:rPr>
                <w:rFonts w:hint="eastAsia" w:ascii="宋体" w:hAnsi="宋体" w:eastAsia="宋体" w:cs="宋体"/>
                <w:color w:val="auto"/>
                <w:sz w:val="21"/>
                <w:szCs w:val="21"/>
                <w:lang w:bidi="ar"/>
              </w:rPr>
              <w:t>议：法律法规的获取、识别和学习有待强化。由于存在怕麻烦、获取途径不通畅等原因，大部分单位对本单位适用法律法规及其他要求的收集、评价及学习工作存在明显不足。</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提供有2022年7月28日对</w:t>
            </w:r>
            <w:r>
              <w:rPr>
                <w:rFonts w:hint="eastAsia" w:ascii="宋体" w:hAnsi="宋体" w:cs="宋体"/>
                <w:color w:val="auto"/>
                <w:sz w:val="21"/>
                <w:szCs w:val="21"/>
                <w:lang w:eastAsia="zh-CN" w:bidi="ar"/>
              </w:rPr>
              <w:t>全体</w:t>
            </w:r>
            <w:r>
              <w:rPr>
                <w:rFonts w:hint="eastAsia" w:ascii="宋体" w:hAnsi="宋体" w:cs="宋体"/>
                <w:color w:val="auto"/>
                <w:sz w:val="21"/>
                <w:szCs w:val="21"/>
                <w:lang w:val="en-US" w:eastAsia="zh-CN" w:bidi="ar"/>
              </w:rPr>
              <w:t>管理</w:t>
            </w:r>
            <w:r>
              <w:rPr>
                <w:rFonts w:hint="eastAsia" w:ascii="宋体" w:hAnsi="宋体" w:cs="宋体"/>
                <w:color w:val="auto"/>
                <w:sz w:val="21"/>
                <w:szCs w:val="21"/>
                <w:lang w:eastAsia="zh-CN" w:bidi="ar"/>
              </w:rPr>
              <w:t>人员</w:t>
            </w:r>
            <w:r>
              <w:rPr>
                <w:rFonts w:hint="eastAsia" w:ascii="宋体" w:hAnsi="宋体" w:cs="宋体"/>
                <w:color w:val="auto"/>
                <w:sz w:val="21"/>
                <w:szCs w:val="21"/>
                <w:lang w:val="en-US" w:eastAsia="zh-CN" w:bidi="ar"/>
              </w:rPr>
              <w:t>环境标准培训记录，记录显示按要求进行了专题培训，培训效果良好。</w:t>
            </w:r>
          </w:p>
          <w:p>
            <w:pPr>
              <w:spacing w:line="360" w:lineRule="atLeast"/>
              <w:rPr>
                <w:rFonts w:hint="eastAsia" w:ascii="宋体" w:hAnsi="宋体" w:cs="宋体"/>
                <w:color w:val="auto"/>
                <w:sz w:val="21"/>
                <w:szCs w:val="21"/>
              </w:rPr>
            </w:pPr>
            <w:r>
              <w:rPr>
                <w:rFonts w:hint="eastAsia" w:ascii="宋体" w:hAnsi="宋体" w:cs="宋体"/>
                <w:color w:val="auto"/>
                <w:sz w:val="21"/>
                <w:szCs w:val="21"/>
                <w:lang w:bidi="ar"/>
              </w:rPr>
              <w:t>评审输出内容：</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环境方针的评审：方针合理、适宜符合要求，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预防措施和纠正措施的状况。</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color w:val="auto"/>
                <w:sz w:val="21"/>
                <w:szCs w:val="21"/>
              </w:rPr>
            </w:pPr>
            <w:r>
              <w:rPr>
                <w:rFonts w:hint="eastAsia" w:ascii="宋体" w:hAnsi="宋体" w:cs="宋体"/>
                <w:color w:val="auto"/>
                <w:sz w:val="21"/>
                <w:szCs w:val="21"/>
                <w:lang w:bidi="ar"/>
              </w:rPr>
              <w:t>相关方关注：20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12月</w:t>
            </w:r>
            <w:r>
              <w:rPr>
                <w:rFonts w:hint="eastAsia" w:ascii="宋体" w:hAnsi="宋体" w:cs="宋体"/>
                <w:color w:val="auto"/>
                <w:sz w:val="21"/>
                <w:szCs w:val="21"/>
                <w:lang w:bidi="ar"/>
              </w:rPr>
              <w:t>至今未收到相关方及顾客投诉抱怨；</w:t>
            </w:r>
          </w:p>
          <w:p>
            <w:pPr>
              <w:spacing w:line="360" w:lineRule="atLeast"/>
              <w:rPr>
                <w:color w:val="auto"/>
              </w:rPr>
            </w:pPr>
            <w:r>
              <w:rPr>
                <w:rFonts w:hint="eastAsia" w:ascii="宋体" w:hAnsi="宋体" w:cs="宋体"/>
                <w:color w:val="auto"/>
                <w:sz w:val="21"/>
                <w:szCs w:val="21"/>
                <w:lang w:bidi="ar"/>
              </w:rPr>
              <w:t>管理评审结论：环境方针、目标适宜，体系符合企业现状，公司建立的管理体系适宜、充分、有效</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Align w:val="top"/>
          </w:tcPr>
          <w:p>
            <w:pPr>
              <w:adjustRightInd w:val="0"/>
              <w:snapToGrid w:val="0"/>
              <w:jc w:val="center"/>
              <w:rPr>
                <w:rFonts w:ascii="宋体" w:hAnsi="宋体"/>
                <w:color w:val="auto"/>
                <w:sz w:val="21"/>
                <w:szCs w:val="21"/>
              </w:rPr>
            </w:pPr>
            <w:r>
              <w:rPr>
                <w:rFonts w:hint="eastAsia" w:ascii="宋体" w:hAnsi="宋体"/>
                <w:color w:val="auto"/>
                <w:sz w:val="21"/>
                <w:szCs w:val="21"/>
              </w:rPr>
              <w:t>改进 总则</w:t>
            </w:r>
          </w:p>
          <w:p>
            <w:pPr>
              <w:adjustRightInd w:val="0"/>
              <w:snapToGrid w:val="0"/>
              <w:jc w:val="center"/>
              <w:rPr>
                <w:color w:val="auto"/>
              </w:rPr>
            </w:pPr>
            <w:r>
              <w:rPr>
                <w:rFonts w:hint="eastAsia" w:ascii="宋体" w:hAnsi="宋体"/>
                <w:color w:val="auto"/>
                <w:sz w:val="21"/>
                <w:szCs w:val="21"/>
              </w:rPr>
              <w:t>持续改进</w:t>
            </w:r>
          </w:p>
        </w:tc>
        <w:tc>
          <w:tcPr>
            <w:tcW w:w="960" w:type="dxa"/>
            <w:vAlign w:val="top"/>
          </w:tcPr>
          <w:p>
            <w:pPr>
              <w:rPr>
                <w:rFonts w:hint="eastAsia" w:ascii="宋体" w:hAnsi="宋体"/>
                <w:color w:val="auto"/>
                <w:sz w:val="21"/>
                <w:szCs w:val="21"/>
              </w:rPr>
            </w:pPr>
            <w:r>
              <w:rPr>
                <w:rFonts w:hint="eastAsia" w:ascii="宋体" w:hAnsi="宋体" w:eastAsia="宋体" w:cs="Times New Roman"/>
                <w:color w:val="auto"/>
                <w:sz w:val="21"/>
                <w:szCs w:val="21"/>
              </w:rPr>
              <w:t>10.1;10.3；</w:t>
            </w:r>
            <w:r>
              <w:rPr>
                <w:rFonts w:hint="eastAsia" w:ascii="宋体" w:hAnsi="宋体"/>
                <w:color w:val="auto"/>
                <w:sz w:val="21"/>
                <w:szCs w:val="21"/>
              </w:rPr>
              <w:t xml:space="preserve"> </w:t>
            </w:r>
          </w:p>
          <w:p>
            <w:pPr>
              <w:rPr>
                <w:color w:val="auto"/>
              </w:rPr>
            </w:pPr>
          </w:p>
        </w:tc>
        <w:tc>
          <w:tcPr>
            <w:tcW w:w="10637" w:type="dxa"/>
            <w:vAlign w:val="top"/>
          </w:tcPr>
          <w:p>
            <w:pPr>
              <w:ind w:firstLine="420" w:firstLineChars="200"/>
              <w:rPr>
                <w:rFonts w:ascii="宋体" w:hAnsi="宋体"/>
                <w:color w:val="auto"/>
                <w:sz w:val="21"/>
                <w:szCs w:val="21"/>
              </w:rPr>
            </w:pPr>
            <w:r>
              <w:rPr>
                <w:rFonts w:hint="eastAsia" w:ascii="宋体" w:hAnsi="宋体"/>
                <w:color w:val="auto"/>
                <w:sz w:val="21"/>
                <w:szCs w:val="21"/>
              </w:rPr>
              <w:t>公司制定系列程序文件《</w:t>
            </w:r>
            <w:r>
              <w:rPr>
                <w:rFonts w:hint="eastAsia" w:ascii="宋体" w:hAnsi="宋体"/>
                <w:color w:val="auto"/>
                <w:sz w:val="21"/>
                <w:szCs w:val="21"/>
                <w:lang w:eastAsia="zh-CN"/>
              </w:rPr>
              <w:t>管理评审控制规范</w:t>
            </w:r>
            <w:r>
              <w:rPr>
                <w:rFonts w:hint="eastAsia" w:ascii="宋体" w:hAnsi="宋体"/>
                <w:color w:val="auto"/>
                <w:sz w:val="21"/>
                <w:szCs w:val="21"/>
              </w:rPr>
              <w:t>》、《</w:t>
            </w:r>
            <w:r>
              <w:rPr>
                <w:rFonts w:hint="eastAsia" w:ascii="宋体" w:hAnsi="宋体"/>
                <w:color w:val="auto"/>
                <w:sz w:val="21"/>
                <w:szCs w:val="21"/>
                <w:lang w:eastAsia="zh-CN"/>
              </w:rPr>
              <w:t>不符合纠正措施控制规范</w:t>
            </w:r>
            <w:r>
              <w:rPr>
                <w:rFonts w:hint="eastAsia" w:ascii="宋体" w:hAnsi="宋体"/>
                <w:color w:val="auto"/>
                <w:sz w:val="21"/>
                <w:szCs w:val="21"/>
              </w:rPr>
              <w:t>》及《</w:t>
            </w:r>
            <w:r>
              <w:rPr>
                <w:rFonts w:hint="eastAsia" w:ascii="宋体" w:hAnsi="宋体"/>
                <w:color w:val="auto"/>
                <w:sz w:val="21"/>
                <w:szCs w:val="21"/>
                <w:lang w:eastAsia="zh-CN"/>
              </w:rPr>
              <w:t>内部审核控制规范</w:t>
            </w:r>
            <w:r>
              <w:rPr>
                <w:rFonts w:hint="eastAsia" w:ascii="宋体" w:hAnsi="宋体"/>
                <w:color w:val="auto"/>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rPr>
                <w:color w:val="auto"/>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5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color w:val="auto"/>
              </w:rPr>
            </w:pPr>
            <w:r>
              <w:rPr>
                <w:rFonts w:hint="eastAsia" w:ascii="宋体" w:hAnsi="宋体"/>
                <w:sz w:val="18"/>
                <w:szCs w:val="18"/>
                <w:lang w:eastAsia="zh-CN"/>
              </w:rPr>
              <w:t>范围的确认、资质的确认、法律法规执行情</w:t>
            </w:r>
            <w:r>
              <w:rPr>
                <w:rFonts w:hint="eastAsia" w:ascii="宋体" w:hAnsi="宋体" w:eastAsia="宋体" w:cs="Times New Roman"/>
                <w:sz w:val="18"/>
                <w:szCs w:val="18"/>
                <w:lang w:eastAsia="zh-CN"/>
              </w:rPr>
              <w:t>况、环保抽查及相关投诉情况、认证证书及标识使用情况，上次不符合验证。</w:t>
            </w:r>
          </w:p>
        </w:tc>
        <w:tc>
          <w:tcPr>
            <w:tcW w:w="960" w:type="dxa"/>
            <w:vAlign w:val="top"/>
          </w:tcPr>
          <w:p>
            <w:pPr>
              <w:jc w:val="both"/>
              <w:rPr>
                <w:color w:val="auto"/>
              </w:rPr>
            </w:pPr>
          </w:p>
        </w:tc>
        <w:tc>
          <w:tcPr>
            <w:tcW w:w="10637" w:type="dxa"/>
            <w:vAlign w:val="center"/>
          </w:tcPr>
          <w:p>
            <w:pPr>
              <w:spacing w:line="360" w:lineRule="auto"/>
              <w:ind w:firstLine="420" w:firstLineChars="200"/>
              <w:rPr>
                <w:rFonts w:hint="eastAsia"/>
                <w:color w:val="auto"/>
                <w:lang w:eastAsia="zh-CN"/>
              </w:rPr>
            </w:pPr>
            <w:r>
              <w:rPr>
                <w:rFonts w:hint="eastAsia"/>
                <w:color w:val="auto"/>
                <w:lang w:val="en-US" w:eastAsia="zh-CN"/>
              </w:rPr>
              <w:t>现场</w:t>
            </w:r>
            <w:r>
              <w:rPr>
                <w:rFonts w:hint="eastAsia"/>
                <w:color w:val="auto"/>
              </w:rPr>
              <w:t>确认，公司</w:t>
            </w:r>
            <w:r>
              <w:rPr>
                <w:rFonts w:hint="eastAsia"/>
                <w:color w:val="auto"/>
                <w:lang w:eastAsia="zh-CN"/>
              </w:rPr>
              <w:t>环境</w:t>
            </w:r>
            <w:r>
              <w:rPr>
                <w:rFonts w:hint="eastAsia"/>
                <w:color w:val="auto"/>
              </w:rPr>
              <w:t>管理体系</w:t>
            </w:r>
            <w:r>
              <w:rPr>
                <w:rFonts w:hint="eastAsia"/>
                <w:color w:val="auto"/>
                <w:lang w:eastAsia="zh-CN"/>
              </w:rPr>
              <w:t>覆盖范围：实木家具、钢木家具、金属家具、教学家具、软体家具、智能密集架、货架的销售所涉及场所的相关环境管理活动 。</w:t>
            </w:r>
          </w:p>
          <w:p>
            <w:pPr>
              <w:spacing w:line="360" w:lineRule="auto"/>
              <w:ind w:firstLine="420" w:firstLineChars="200"/>
              <w:rPr>
                <w:rFonts w:hint="eastAsia"/>
                <w:color w:val="auto"/>
                <w:lang w:eastAsia="zh-CN"/>
              </w:rPr>
            </w:pPr>
            <w:r>
              <w:rPr>
                <w:rFonts w:hint="eastAsia"/>
                <w:color w:val="auto"/>
                <w:lang w:eastAsia="zh-CN"/>
              </w:rPr>
              <w:t>提供营业执照（三证合一），检查有效。公司严格执行国标及企业标准要求和法律、法规要求。</w:t>
            </w:r>
          </w:p>
          <w:p>
            <w:pPr>
              <w:spacing w:line="360" w:lineRule="auto"/>
              <w:ind w:firstLine="420" w:firstLineChars="200"/>
              <w:rPr>
                <w:rFonts w:hint="eastAsia"/>
                <w:color w:val="auto"/>
                <w:lang w:eastAsia="zh-CN"/>
              </w:rPr>
            </w:pP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11</w:t>
            </w:r>
            <w:r>
              <w:rPr>
                <w:rFonts w:hint="eastAsia"/>
                <w:color w:val="auto"/>
                <w:lang w:eastAsia="zh-CN"/>
              </w:rPr>
              <w:t>月至今，公司没有环保抽查情况，没有相关的环境投诉。</w:t>
            </w:r>
          </w:p>
          <w:p>
            <w:pPr>
              <w:spacing w:line="360" w:lineRule="auto"/>
              <w:ind w:firstLine="210" w:firstLineChars="100"/>
              <w:rPr>
                <w:rFonts w:hint="eastAsia"/>
                <w:color w:val="auto"/>
                <w:highlight w:val="none"/>
              </w:rPr>
            </w:pPr>
            <w:r>
              <w:rPr>
                <w:rFonts w:hint="eastAsia"/>
                <w:color w:val="auto"/>
                <w:highlight w:val="none"/>
              </w:rPr>
              <w:t>现场查见认证证书及标识使用情况，符合要求。</w:t>
            </w:r>
          </w:p>
          <w:p>
            <w:pPr>
              <w:spacing w:line="400" w:lineRule="exact"/>
              <w:ind w:firstLine="210" w:firstLineChars="100"/>
              <w:jc w:val="both"/>
              <w:rPr>
                <w:rFonts w:hint="default"/>
                <w:color w:val="auto"/>
                <w:lang w:val="en-US"/>
              </w:rPr>
            </w:pPr>
            <w:r>
              <w:rPr>
                <w:rFonts w:hint="eastAsia"/>
                <w:color w:val="auto"/>
                <w:szCs w:val="22"/>
                <w:highlight w:val="none"/>
              </w:rPr>
              <w:t>上</w:t>
            </w:r>
            <w:r>
              <w:rPr>
                <w:rFonts w:hint="eastAsia" w:ascii="Times New Roman" w:hAnsi="Times New Roman" w:eastAsia="宋体" w:cs="Times New Roman"/>
                <w:color w:val="auto"/>
                <w:kern w:val="2"/>
                <w:sz w:val="21"/>
                <w:szCs w:val="22"/>
                <w:highlight w:val="none"/>
                <w:lang w:val="en-US" w:eastAsia="zh-CN" w:bidi="ar-SA"/>
              </w:rPr>
              <w:t>次不符合的整改情况：上次不符合为行政部E7.2条款，经本次审核验证均整改且无类似不符合情况出现。</w:t>
            </w:r>
          </w:p>
        </w:tc>
        <w:tc>
          <w:tcPr>
            <w:tcW w:w="952"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4"/>
        <w:rPr>
          <w:rFonts w:hint="eastAsia"/>
          <w:color w:val="auto"/>
        </w:rPr>
      </w:pPr>
    </w:p>
    <w:p>
      <w:pPr>
        <w:pStyle w:val="4"/>
        <w:rPr>
          <w:rFonts w:hint="eastAsia"/>
          <w:color w:val="auto"/>
        </w:rPr>
      </w:pPr>
    </w:p>
    <w:p>
      <w:pPr>
        <w:pStyle w:val="4"/>
        <w:rPr>
          <w:rFonts w:hint="eastAsia"/>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涉及</w:t>
            </w:r>
          </w:p>
          <w:p>
            <w:pPr>
              <w:spacing w:before="120"/>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条款</w:t>
            </w:r>
          </w:p>
        </w:tc>
        <w:tc>
          <w:tcPr>
            <w:tcW w:w="10425" w:type="dxa"/>
            <w:vAlign w:val="center"/>
          </w:tcPr>
          <w:p>
            <w:pPr>
              <w:spacing w:before="12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 xml:space="preserve">行政部（含财务）， </w:t>
            </w:r>
            <w:r>
              <w:rPr>
                <w:rFonts w:hint="eastAsia" w:ascii="Times New Roman" w:hAnsi="Times New Roman" w:eastAsia="宋体" w:cs="Times New Roman"/>
                <w:color w:val="auto"/>
                <w:sz w:val="24"/>
                <w:szCs w:val="24"/>
              </w:rPr>
              <w:t>主管领导：</w:t>
            </w:r>
            <w:r>
              <w:rPr>
                <w:rFonts w:hint="eastAsia" w:cs="Times New Roman"/>
                <w:color w:val="auto"/>
                <w:sz w:val="24"/>
                <w:szCs w:val="24"/>
                <w:lang w:val="en-US" w:eastAsia="zh-CN"/>
              </w:rPr>
              <w:t>罗琼</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陪同人员：</w:t>
            </w:r>
            <w:r>
              <w:rPr>
                <w:rFonts w:hint="eastAsia" w:cs="Times New Roman"/>
                <w:color w:val="auto"/>
                <w:sz w:val="24"/>
                <w:szCs w:val="24"/>
                <w:lang w:val="en-US" w:eastAsia="zh-CN"/>
              </w:rPr>
              <w:t>周明群</w:t>
            </w:r>
          </w:p>
        </w:tc>
        <w:tc>
          <w:tcPr>
            <w:tcW w:w="116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25"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2022年9月16日上午</w:t>
            </w:r>
          </w:p>
        </w:tc>
        <w:tc>
          <w:tcPr>
            <w:tcW w:w="116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25" w:type="dxa"/>
            <w:vAlign w:val="center"/>
          </w:tcPr>
          <w:p>
            <w:pPr>
              <w:rPr>
                <w:color w:val="auto"/>
                <w:sz w:val="24"/>
                <w:szCs w:val="24"/>
              </w:rPr>
            </w:pPr>
            <w:r>
              <w:rPr>
                <w:rFonts w:hint="eastAsia"/>
                <w:color w:val="auto"/>
                <w:sz w:val="24"/>
                <w:szCs w:val="24"/>
              </w:rPr>
              <w:t>审核条款：</w:t>
            </w:r>
            <w:r>
              <w:rPr>
                <w:rFonts w:hint="eastAsia" w:ascii="宋体" w:hAnsi="宋体" w:cs="Times New Roman"/>
                <w:sz w:val="18"/>
                <w:szCs w:val="18"/>
              </w:rPr>
              <w:t>5.3组织的角色、职责和权限；6.1.2环境因素；6.1.3合规义务；6.2目标及其达成的策划；7.2能力</w:t>
            </w:r>
            <w:r>
              <w:rPr>
                <w:rFonts w:hint="eastAsia" w:ascii="宋体" w:hAnsi="宋体" w:cs="Times New Roman"/>
                <w:sz w:val="18"/>
                <w:szCs w:val="18"/>
                <w:lang w:eastAsia="zh-CN"/>
              </w:rPr>
              <w:t>（</w:t>
            </w:r>
            <w:r>
              <w:rPr>
                <w:rFonts w:hint="eastAsia" w:ascii="宋体" w:hAnsi="宋体" w:cs="Times New Roman"/>
                <w:sz w:val="18"/>
                <w:szCs w:val="18"/>
                <w:lang w:val="en-US" w:eastAsia="zh-CN"/>
              </w:rPr>
              <w:t>上次不符合验证）</w:t>
            </w:r>
            <w:r>
              <w:rPr>
                <w:rFonts w:hint="eastAsia" w:ascii="宋体" w:hAnsi="宋体" w:cs="Times New Roman"/>
                <w:sz w:val="18"/>
                <w:szCs w:val="18"/>
              </w:rPr>
              <w:t>；8.1运行策划和控制；8.2应急准备和响应；9.1</w:t>
            </w:r>
            <w:r>
              <w:rPr>
                <w:rFonts w:hint="eastAsia" w:ascii="宋体" w:hAnsi="宋体" w:cs="Times New Roman"/>
                <w:sz w:val="18"/>
                <w:szCs w:val="18"/>
                <w:highlight w:val="none"/>
              </w:rPr>
              <w:t>监视、测量、分析与评估；9.1.2符合性评估；9.2内部审核；10.2不符合和纠正措施</w:t>
            </w:r>
            <w:r>
              <w:rPr>
                <w:rFonts w:hint="eastAsia" w:ascii="宋体" w:hAnsi="宋体" w:cs="Times New Roman"/>
                <w:sz w:val="18"/>
                <w:szCs w:val="18"/>
                <w:highlight w:val="none"/>
                <w:lang w:val="en-US" w:eastAsia="zh-CN"/>
              </w:rPr>
              <w:t>及</w:t>
            </w:r>
            <w:r>
              <w:rPr>
                <w:rFonts w:hint="eastAsia" w:ascii="宋体" w:hAnsi="宋体" w:cs="Times New Roman"/>
                <w:sz w:val="18"/>
                <w:szCs w:val="18"/>
                <w:highlight w:val="none"/>
              </w:rPr>
              <w:t>EMS运行控制相关财务支出证据</w:t>
            </w:r>
          </w:p>
        </w:tc>
        <w:tc>
          <w:tcPr>
            <w:tcW w:w="116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组织的角色、职责和权限</w:t>
            </w:r>
          </w:p>
          <w:p>
            <w:pPr>
              <w:adjustRightInd w:val="0"/>
              <w:snapToGrid w:val="0"/>
              <w:jc w:val="center"/>
              <w:rPr>
                <w:color w:val="auto"/>
              </w:rPr>
            </w:pPr>
          </w:p>
        </w:tc>
        <w:tc>
          <w:tcPr>
            <w:tcW w:w="960" w:type="dxa"/>
            <w:vAlign w:val="top"/>
          </w:tcPr>
          <w:p>
            <w:pPr>
              <w:rPr>
                <w:color w:val="auto"/>
              </w:rPr>
            </w:pPr>
            <w:r>
              <w:rPr>
                <w:rFonts w:hint="eastAsia" w:ascii="宋体" w:hAnsi="宋体" w:cs="新宋体"/>
                <w:color w:val="auto"/>
                <w:sz w:val="21"/>
                <w:szCs w:val="21"/>
              </w:rPr>
              <w:t xml:space="preserve">5.3； </w:t>
            </w:r>
          </w:p>
        </w:tc>
        <w:tc>
          <w:tcPr>
            <w:tcW w:w="10425"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查《岗位职责》，已经明确了</w:t>
            </w:r>
            <w:r>
              <w:rPr>
                <w:rFonts w:hint="eastAsia" w:ascii="宋体" w:hAnsi="宋体"/>
                <w:color w:val="auto"/>
                <w:szCs w:val="21"/>
                <w:lang w:eastAsia="zh-CN"/>
              </w:rPr>
              <w:t>行政部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spacing w:line="320" w:lineRule="exact"/>
              <w:textAlignment w:val="baseline"/>
              <w:rPr>
                <w:rFonts w:ascii="宋体" w:hAnsi="宋体"/>
                <w:color w:val="auto"/>
                <w:szCs w:val="21"/>
              </w:rPr>
            </w:pPr>
            <w:r>
              <w:rPr>
                <w:rFonts w:hint="eastAsia" w:ascii="宋体" w:hAnsi="宋体" w:cs="宋体"/>
                <w:color w:val="auto"/>
                <w:szCs w:val="21"/>
              </w:rPr>
              <w:t>5）负责确保环保资金资金的落实</w:t>
            </w:r>
            <w:r>
              <w:rPr>
                <w:rFonts w:hint="eastAsia" w:ascii="宋体" w:hAnsi="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color w:val="auto"/>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color w:val="auto"/>
              </w:rPr>
            </w:pPr>
            <w:r>
              <w:rPr>
                <w:rFonts w:hint="eastAsia" w:ascii="宋体" w:hAnsi="宋体" w:cs="新宋体"/>
                <w:color w:val="auto"/>
                <w:szCs w:val="21"/>
              </w:rPr>
              <w:t>环境因素</w:t>
            </w:r>
          </w:p>
        </w:tc>
        <w:tc>
          <w:tcPr>
            <w:tcW w:w="960" w:type="dxa"/>
            <w:vAlign w:val="top"/>
          </w:tcPr>
          <w:p>
            <w:pPr>
              <w:rPr>
                <w:rFonts w:hint="default" w:ascii="宋体" w:hAnsi="宋体" w:eastAsia="宋体" w:cs="新宋体"/>
                <w:color w:val="auto"/>
                <w:sz w:val="21"/>
                <w:szCs w:val="21"/>
                <w:lang w:val="en-US" w:eastAsia="zh-CN"/>
              </w:rPr>
            </w:pPr>
            <w:r>
              <w:rPr>
                <w:rFonts w:hint="eastAsia" w:ascii="宋体" w:hAnsi="宋体" w:cs="新宋体"/>
                <w:color w:val="auto"/>
                <w:sz w:val="21"/>
                <w:szCs w:val="21"/>
                <w:lang w:val="en-US" w:eastAsia="zh-CN"/>
              </w:rPr>
              <w:t>6.1.2</w:t>
            </w:r>
          </w:p>
        </w:tc>
        <w:tc>
          <w:tcPr>
            <w:tcW w:w="1042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环境因素识别评价控制规范</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行政部202</w:t>
            </w:r>
            <w:r>
              <w:rPr>
                <w:rFonts w:hint="eastAsia" w:ascii="宋体" w:hAnsi="宋体" w:cs="宋体"/>
                <w:color w:val="auto"/>
                <w:szCs w:val="21"/>
                <w:highlight w:val="none"/>
                <w:lang w:val="en-US" w:eastAsia="zh-CN"/>
              </w:rPr>
              <w:t>2年5月20日</w:t>
            </w:r>
            <w:r>
              <w:rPr>
                <w:rFonts w:hint="eastAsia" w:ascii="宋体" w:hAnsi="宋体" w:eastAsia="宋体" w:cs="宋体"/>
                <w:color w:val="auto"/>
                <w:szCs w:val="21"/>
                <w:highlight w:val="none"/>
              </w:rPr>
              <w:t>组织了各个</w:t>
            </w:r>
            <w:r>
              <w:rPr>
                <w:rFonts w:hint="eastAsia" w:ascii="宋体" w:hAnsi="宋体" w:cs="宋体"/>
                <w:color w:val="auto"/>
                <w:szCs w:val="21"/>
                <w:highlight w:val="none"/>
              </w:rPr>
              <w:t>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废复写纸丢弃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复印机的臭氧排放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空调氟的泄漏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空调水的排放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一次性纸杯丢弃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xml:space="preserve">废弃物丢弃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废包装材料丢弃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widowControl/>
              <w:jc w:val="left"/>
              <w:rPr>
                <w:rFonts w:hint="eastAsia" w:ascii="宋体" w:hAnsi="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29</w:t>
            </w:r>
            <w:r>
              <w:rPr>
                <w:rFonts w:hint="eastAsia" w:ascii="宋体" w:hAnsi="宋体" w:cs="宋体"/>
                <w:color w:val="auto"/>
                <w:szCs w:val="21"/>
              </w:rPr>
              <w:t>项。识别基本清楚、全面。</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6.1.3</w:t>
            </w:r>
          </w:p>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425" w:type="dxa"/>
            <w:vAlign w:val="top"/>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lang w:eastAsia="zh-CN"/>
              </w:rPr>
              <w:t>法律法规及其它要求控制规范</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》，对本公司环境管理体系适用的法律法规和当地政府</w:t>
            </w:r>
            <w:r>
              <w:rPr>
                <w:rFonts w:hint="eastAsia" w:ascii="宋体" w:hAnsi="宋体" w:cs="宋体"/>
                <w:color w:val="auto"/>
                <w:szCs w:val="21"/>
              </w:rPr>
              <w:t>、行业要求进行了识别，包括环境标准、排放标准、等。</w:t>
            </w:r>
          </w:p>
          <w:p>
            <w:pPr>
              <w:spacing w:line="400" w:lineRule="exact"/>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ind w:firstLine="210" w:firstLineChars="100"/>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Arial" w:cs="Arial"/>
                <w:bCs/>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ascii="Arial" w:cs="Arial"/>
                <w:bCs/>
                <w:szCs w:val="21"/>
              </w:rPr>
              <w:t>中华人民共和国大气污染防治法</w:t>
            </w:r>
          </w:p>
          <w:p>
            <w:pPr>
              <w:spacing w:line="400" w:lineRule="exact"/>
              <w:ind w:firstLine="630" w:firstLineChars="300"/>
              <w:rPr>
                <w:rFonts w:ascii="Arial" w:cs="Arial"/>
                <w:b w:val="0"/>
                <w:bCs/>
                <w:sz w:val="21"/>
                <w:szCs w:val="21"/>
              </w:rPr>
            </w:pPr>
            <w:r>
              <w:rPr>
                <w:rFonts w:ascii="Arial" w:cs="Arial"/>
                <w:b w:val="0"/>
                <w:bCs/>
                <w:sz w:val="21"/>
                <w:szCs w:val="21"/>
              </w:rPr>
              <w:t>中华人民共和国噪声污染防治法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中华人民共和国消防法</w:t>
            </w:r>
          </w:p>
          <w:p>
            <w:pPr>
              <w:spacing w:line="400" w:lineRule="exact"/>
              <w:ind w:firstLine="630" w:firstLineChars="300"/>
              <w:rPr>
                <w:rFonts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29</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left"/>
              <w:rPr>
                <w:color w:val="auto"/>
              </w:rPr>
            </w:pPr>
            <w:r>
              <w:rPr>
                <w:rFonts w:hint="eastAsia" w:ascii="宋体" w:hAnsi="宋体" w:cs="新宋体"/>
                <w:color w:val="auto"/>
                <w:sz w:val="21"/>
                <w:szCs w:val="21"/>
              </w:rPr>
              <w:t>目标及其实现的策划</w:t>
            </w:r>
          </w:p>
        </w:tc>
        <w:tc>
          <w:tcPr>
            <w:tcW w:w="960" w:type="dxa"/>
            <w:vAlign w:val="top"/>
          </w:tcPr>
          <w:p>
            <w:pPr>
              <w:jc w:val="left"/>
              <w:rPr>
                <w:color w:val="auto"/>
              </w:rPr>
            </w:pPr>
            <w:r>
              <w:rPr>
                <w:rFonts w:hint="eastAsia" w:ascii="宋体" w:hAnsi="宋体" w:cs="新宋体"/>
                <w:color w:val="auto"/>
                <w:sz w:val="21"/>
                <w:szCs w:val="21"/>
              </w:rPr>
              <w:t>6.2</w:t>
            </w:r>
          </w:p>
        </w:tc>
        <w:tc>
          <w:tcPr>
            <w:tcW w:w="10425" w:type="dxa"/>
            <w:vAlign w:val="top"/>
          </w:tcPr>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行政部</w:t>
            </w:r>
            <w:r>
              <w:rPr>
                <w:rFonts w:hint="eastAsia" w:ascii="宋体" w:hAnsi="宋体" w:eastAsia="宋体" w:cs="Arial"/>
                <w:iCs/>
                <w:color w:val="auto"/>
                <w:sz w:val="21"/>
                <w:szCs w:val="21"/>
                <w:lang w:val="en-US" w:eastAsia="zh-CN" w:bidi="ar"/>
              </w:rPr>
              <w:t>的环境目标为：</w:t>
            </w:r>
            <w:r>
              <w:rPr>
                <w:rFonts w:hint="eastAsia" w:ascii="宋体" w:hAnsi="宋体" w:cs="Arial"/>
                <w:iCs/>
                <w:color w:val="auto"/>
                <w:sz w:val="21"/>
                <w:szCs w:val="21"/>
                <w:lang w:val="en-US" w:eastAsia="zh-CN" w:bidi="ar"/>
              </w:rPr>
              <w:t xml:space="preserve">            考核情况（2021年12月—2022年8月）</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1、火灾事故为0；                         实测：未发生火灾事故</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2、危险废废弃物100%回收管理；            实测：</w:t>
            </w:r>
            <w:r>
              <w:rPr>
                <w:rFonts w:hint="eastAsia"/>
                <w:color w:val="auto"/>
                <w:szCs w:val="21"/>
                <w:lang w:val="en-US" w:eastAsia="zh-CN"/>
              </w:rPr>
              <w:t>合规回收处置率达到</w:t>
            </w:r>
            <w:r>
              <w:rPr>
                <w:rFonts w:hint="eastAsia"/>
                <w:color w:val="auto"/>
                <w:szCs w:val="21"/>
              </w:rPr>
              <w:t>100%</w:t>
            </w:r>
          </w:p>
          <w:p>
            <w:pPr>
              <w:spacing w:line="400" w:lineRule="atLeast"/>
              <w:ind w:right="170"/>
              <w:jc w:val="left"/>
              <w:rPr>
                <w:rFonts w:hint="default" w:ascii="宋体" w:hAnsi="宋体" w:eastAsia="宋体" w:cs="Arial"/>
                <w:iCs/>
                <w:color w:val="auto"/>
                <w:sz w:val="21"/>
                <w:szCs w:val="21"/>
                <w:lang w:val="en-US" w:eastAsia="zh-CN" w:bidi="ar"/>
              </w:rPr>
            </w:pPr>
            <w:r>
              <w:rPr>
                <w:rFonts w:hint="eastAsia" w:ascii="宋体" w:hAnsi="宋体" w:eastAsia="宋体" w:cs="Arial"/>
                <w:iCs/>
                <w:color w:val="auto"/>
                <w:sz w:val="21"/>
                <w:szCs w:val="21"/>
                <w:lang w:val="en-US" w:eastAsia="zh-CN" w:bidi="ar"/>
              </w:rPr>
              <w:t>3、</w:t>
            </w:r>
            <w:r>
              <w:rPr>
                <w:rFonts w:hint="default" w:ascii="宋体" w:hAnsi="宋体" w:eastAsia="宋体" w:cs="Arial"/>
                <w:iCs/>
                <w:color w:val="auto"/>
                <w:sz w:val="21"/>
                <w:szCs w:val="21"/>
                <w:lang w:val="en-US" w:eastAsia="zh-CN" w:bidi="ar"/>
              </w:rPr>
              <w:t>确认安全环保资金到位率100%</w:t>
            </w:r>
            <w:r>
              <w:rPr>
                <w:rFonts w:hint="eastAsia" w:ascii="宋体" w:hAnsi="宋体" w:eastAsia="宋体" w:cs="Arial"/>
                <w:iCs/>
                <w:color w:val="auto"/>
                <w:sz w:val="21"/>
                <w:szCs w:val="21"/>
                <w:lang w:val="en-US" w:eastAsia="zh-CN" w:bidi="ar"/>
              </w:rPr>
              <w:t>；          实测：资金到位率100%</w:t>
            </w:r>
          </w:p>
          <w:p>
            <w:pPr>
              <w:spacing w:line="400" w:lineRule="atLeast"/>
              <w:ind w:right="-107" w:rightChars="-51"/>
              <w:jc w:val="left"/>
              <w:rPr>
                <w:rFonts w:hint="eastAsia" w:ascii="宋体" w:hAnsi="宋体" w:cs="宋体"/>
                <w:color w:val="auto"/>
                <w:sz w:val="21"/>
                <w:szCs w:val="21"/>
              </w:rPr>
            </w:pPr>
            <w:r>
              <w:rPr>
                <w:rFonts w:hint="eastAsia" w:ascii="宋体" w:hAnsi="宋体" w:cs="宋体"/>
                <w:color w:val="auto"/>
                <w:sz w:val="21"/>
                <w:szCs w:val="21"/>
                <w:lang w:val="en-US" w:eastAsia="zh-CN" w:bidi="ar"/>
              </w:rPr>
              <w:t>环境目标</w:t>
            </w:r>
            <w:r>
              <w:rPr>
                <w:rFonts w:hint="eastAsia" w:ascii="宋体" w:hAnsi="宋体" w:cs="宋体"/>
                <w:color w:val="auto"/>
                <w:sz w:val="21"/>
                <w:szCs w:val="21"/>
                <w:lang w:bidi="ar"/>
              </w:rPr>
              <w:t>达到要求。</w:t>
            </w:r>
          </w:p>
          <w:p>
            <w:pPr>
              <w:widowControl/>
              <w:jc w:val="left"/>
              <w:rPr>
                <w:color w:val="auto"/>
              </w:rPr>
            </w:pPr>
            <w:r>
              <w:rPr>
                <w:rFonts w:hint="eastAsia" w:ascii="宋体" w:hAnsi="宋体" w:cs="宋体"/>
                <w:color w:val="auto"/>
                <w:sz w:val="21"/>
                <w:szCs w:val="21"/>
                <w:lang w:bidi="ar"/>
              </w:rPr>
              <w:t>查，公司编制了环境管理实施方案：制定、执行程序或作业文件；加强监测和测量；培训与教育；应急响应。</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能力</w:t>
            </w:r>
            <w:r>
              <w:rPr>
                <w:rFonts w:hint="eastAsia" w:ascii="宋体" w:hAnsi="宋体" w:cs="新宋体"/>
                <w:color w:val="auto"/>
                <w:sz w:val="21"/>
                <w:szCs w:val="21"/>
                <w:highlight w:val="none"/>
                <w:lang w:eastAsia="zh-CN"/>
              </w:rPr>
              <w:t>（</w:t>
            </w:r>
            <w:r>
              <w:rPr>
                <w:rFonts w:hint="eastAsia" w:ascii="宋体" w:hAnsi="宋体" w:cs="新宋体"/>
                <w:color w:val="auto"/>
                <w:sz w:val="21"/>
                <w:szCs w:val="21"/>
                <w:highlight w:val="none"/>
                <w:lang w:val="en-US" w:eastAsia="zh-CN"/>
              </w:rPr>
              <w:t>上次不符合项验证）</w:t>
            </w:r>
          </w:p>
        </w:tc>
        <w:tc>
          <w:tcPr>
            <w:tcW w:w="960"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ascii="宋体" w:hAnsi="宋体" w:cs="新宋体"/>
                <w:color w:val="auto"/>
                <w:sz w:val="21"/>
                <w:szCs w:val="21"/>
                <w:highlight w:val="none"/>
              </w:rPr>
              <w:t xml:space="preserve">7.2 </w:t>
            </w:r>
          </w:p>
        </w:tc>
        <w:tc>
          <w:tcPr>
            <w:tcW w:w="10425" w:type="dxa"/>
            <w:vAlign w:val="top"/>
          </w:tcPr>
          <w:p>
            <w:r>
              <w:rPr>
                <w:rFonts w:hint="eastAsia"/>
              </w:rPr>
              <w:t>公司确定了从事的工作影响环境管理体系绩效和有效性且在公司控制范围内的人员所必要的能力，这些能力主要是基于适当的教育、培训或经历等。</w:t>
            </w:r>
          </w:p>
          <w:p>
            <w:r>
              <w:rPr>
                <w:rFonts w:hint="eastAsia"/>
              </w:rPr>
              <w:t>---公司对每个从事影响产品符合性要求及从事的工作影响环境管理体系绩效和有效性的工作人员的能力进行识别，制定培训制度、有计划有目的、系统地提供培训以满足这些需求。</w:t>
            </w:r>
          </w:p>
          <w:p>
            <w:pPr>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rPr>
                <w:rFonts w:hint="default"/>
                <w:lang w:val="en-US" w:eastAsia="zh-CN"/>
              </w:rPr>
            </w:pPr>
            <w:r>
              <w:rPr>
                <w:rFonts w:hint="eastAsia"/>
              </w:rPr>
              <w:t>查人员资质：</w:t>
            </w:r>
            <w:r>
              <w:rPr>
                <w:rFonts w:hint="eastAsia"/>
                <w:lang w:val="en-US" w:eastAsia="zh-CN"/>
              </w:rPr>
              <w:t>组织暂无人员资质要求。</w:t>
            </w:r>
          </w:p>
          <w:p>
            <w:pPr>
              <w:rPr>
                <w:rFonts w:hint="eastAsia"/>
              </w:rPr>
            </w:pPr>
            <w:r>
              <w:rPr>
                <w:rFonts w:hint="eastAsia"/>
              </w:rPr>
              <w:t>抽查</w:t>
            </w:r>
            <w:r>
              <w:rPr>
                <w:rFonts w:hint="eastAsia"/>
                <w:lang w:val="en-US" w:eastAsia="zh-CN"/>
              </w:rPr>
              <w:t>2022年度</w:t>
            </w:r>
            <w:r>
              <w:rPr>
                <w:rFonts w:hint="eastAsia"/>
              </w:rPr>
              <w:t>培训计划和</w:t>
            </w:r>
            <w:r>
              <w:t>培训记录</w:t>
            </w:r>
            <w:r>
              <w:rPr>
                <w:rFonts w:hint="eastAsia"/>
                <w:lang w:eastAsia="zh-CN"/>
              </w:rPr>
              <w:t>，</w:t>
            </w:r>
            <w:r>
              <w:rPr>
                <w:rFonts w:hint="eastAsia"/>
                <w:lang w:val="en-US" w:eastAsia="zh-CN"/>
              </w:rPr>
              <w:t>计划培训6次，已培训5次</w:t>
            </w:r>
            <w:r>
              <w:rPr>
                <w:rFonts w:hint="eastAsia"/>
              </w:rPr>
              <w:t>。</w:t>
            </w:r>
          </w:p>
          <w:p>
            <w:pPr>
              <w:numPr>
                <w:ilvl w:val="0"/>
                <w:numId w:val="4"/>
              </w:numPr>
              <w:rPr>
                <w:rFonts w:hint="eastAsia"/>
              </w:rPr>
            </w:pPr>
            <w:r>
              <w:rPr>
                <w:rFonts w:hint="eastAsia"/>
              </w:rPr>
              <w:t>：20</w:t>
            </w:r>
            <w:r>
              <w:rPr>
                <w:rFonts w:hint="eastAsia"/>
                <w:lang w:val="en-US" w:eastAsia="zh-CN"/>
              </w:rPr>
              <w:t>22年1月14日内审员培训，培训内容：</w:t>
            </w:r>
            <w:r>
              <w:t>体系审核的知识，体系条款等进行培训</w:t>
            </w:r>
            <w:r>
              <w:rPr>
                <w:rFonts w:hint="eastAsia"/>
                <w:lang w:val="en-US" w:eastAsia="zh-CN"/>
              </w:rPr>
              <w:t>。</w:t>
            </w:r>
            <w:r>
              <w:rPr>
                <w:rFonts w:hint="eastAsia"/>
              </w:rPr>
              <w:t>培训教师：</w:t>
            </w:r>
            <w:r>
              <w:rPr>
                <w:rFonts w:hint="eastAsia"/>
                <w:lang w:val="en-US" w:eastAsia="zh-CN"/>
              </w:rPr>
              <w:t>咨询</w:t>
            </w:r>
            <w:r>
              <w:rPr>
                <w:rFonts w:hint="eastAsia"/>
              </w:rPr>
              <w:t>老师，参加培训人员</w:t>
            </w:r>
            <w:r>
              <w:rPr>
                <w:rFonts w:hint="eastAsia"/>
                <w:lang w:val="en-US" w:eastAsia="zh-CN"/>
              </w:rPr>
              <w:t>：杨松、周明群、罗琼、徐慧等。提问考核</w:t>
            </w:r>
            <w:r>
              <w:rPr>
                <w:rFonts w:hint="eastAsia"/>
              </w:rPr>
              <w:t>，均合格。培训效果评价：</w:t>
            </w:r>
            <w:r>
              <w:rPr>
                <w:rFonts w:hint="eastAsia" w:ascii="宋体" w:hAnsi="宋体"/>
                <w:sz w:val="21"/>
                <w:szCs w:val="21"/>
              </w:rPr>
              <w:t>通过学习对内审的工作有了认识和提高，达到培训效果，并取得总经理的授权</w:t>
            </w:r>
            <w:r>
              <w:rPr>
                <w:rFonts w:hint="eastAsia"/>
              </w:rPr>
              <w:t>。评价人：</w:t>
            </w:r>
            <w:r>
              <w:rPr>
                <w:rFonts w:hint="eastAsia"/>
                <w:lang w:val="en-US" w:eastAsia="zh-CN"/>
              </w:rPr>
              <w:t>咨询老师。</w:t>
            </w:r>
          </w:p>
          <w:p>
            <w:pPr>
              <w:rPr>
                <w:rFonts w:hint="eastAsia"/>
                <w:lang w:val="en-US" w:eastAsia="zh-CN"/>
              </w:rPr>
            </w:pPr>
            <w:r>
              <w:rPr>
                <w:rFonts w:hint="eastAsia"/>
              </w:rPr>
              <w:t>2）20</w:t>
            </w:r>
            <w:r>
              <w:rPr>
                <w:rFonts w:hint="eastAsia"/>
                <w:lang w:val="en-US" w:eastAsia="zh-CN"/>
              </w:rPr>
              <w:t>22年3月6日</w:t>
            </w:r>
            <w:r>
              <w:t>消防安全基础知识</w:t>
            </w:r>
            <w:r>
              <w:rPr>
                <w:rFonts w:hint="eastAsia"/>
                <w:lang w:val="en-US" w:eastAsia="zh-CN"/>
              </w:rPr>
              <w:t>培训，培训内容：</w:t>
            </w:r>
            <w:r>
              <w:t>消防安全基础知识，四懂四会的学习和实践</w:t>
            </w:r>
            <w:r>
              <w:rPr>
                <w:rFonts w:hint="eastAsia"/>
                <w:lang w:eastAsia="zh-CN"/>
              </w:rPr>
              <w:t>。</w:t>
            </w:r>
            <w:r>
              <w:rPr>
                <w:rFonts w:hint="eastAsia"/>
              </w:rPr>
              <w:t>培训教师：</w:t>
            </w:r>
            <w:r>
              <w:rPr>
                <w:rFonts w:hint="eastAsia"/>
                <w:lang w:val="en-US" w:eastAsia="zh-CN"/>
              </w:rPr>
              <w:t>杨松</w:t>
            </w:r>
            <w:r>
              <w:rPr>
                <w:rFonts w:hint="eastAsia"/>
              </w:rPr>
              <w:t>，参加培训人员：</w:t>
            </w:r>
            <w:r>
              <w:rPr>
                <w:rFonts w:hint="eastAsia"/>
                <w:lang w:val="en-US" w:eastAsia="zh-CN"/>
              </w:rPr>
              <w:t>职能部门主要管理人员。提问考核</w:t>
            </w:r>
            <w:r>
              <w:rPr>
                <w:rFonts w:hint="eastAsia"/>
              </w:rPr>
              <w:t>，均合格</w:t>
            </w:r>
            <w:r>
              <w:rPr>
                <w:rFonts w:hint="eastAsia"/>
                <w:lang w:eastAsia="zh-CN"/>
              </w:rPr>
              <w:t>。</w:t>
            </w:r>
            <w:r>
              <w:rPr>
                <w:rFonts w:hint="eastAsia"/>
              </w:rPr>
              <w:t>训效果评价：</w:t>
            </w:r>
            <w:r>
              <w:rPr>
                <w:rFonts w:hint="eastAsia"/>
                <w:lang w:val="en-US" w:eastAsia="zh-CN"/>
              </w:rPr>
              <w:t>学员掌握</w:t>
            </w:r>
            <w:r>
              <w:t>消防安全基础知识</w:t>
            </w:r>
            <w:r>
              <w:rPr>
                <w:rFonts w:hint="eastAsia"/>
                <w:lang w:val="en-US" w:eastAsia="zh-CN"/>
              </w:rPr>
              <w:t>，达到预期效果。</w:t>
            </w:r>
            <w:r>
              <w:rPr>
                <w:rFonts w:hint="eastAsia"/>
              </w:rPr>
              <w:t>评价人：</w:t>
            </w:r>
            <w:r>
              <w:rPr>
                <w:rFonts w:hint="eastAsia"/>
                <w:lang w:val="en-US" w:eastAsia="zh-CN"/>
              </w:rPr>
              <w:t>杨松。</w:t>
            </w:r>
          </w:p>
          <w:p>
            <w:pPr>
              <w:rPr>
                <w:rFonts w:hint="eastAsia"/>
                <w:lang w:val="en-US" w:eastAsia="zh-CN"/>
              </w:rPr>
            </w:pPr>
            <w:r>
              <w:rPr>
                <w:rFonts w:hint="eastAsia"/>
                <w:lang w:val="en-US" w:eastAsia="zh-CN"/>
              </w:rPr>
              <w:t>3</w:t>
            </w:r>
            <w:r>
              <w:rPr>
                <w:rFonts w:hint="eastAsia"/>
              </w:rPr>
              <w:t>）20</w:t>
            </w:r>
            <w:r>
              <w:rPr>
                <w:rFonts w:hint="eastAsia"/>
                <w:lang w:val="en-US" w:eastAsia="zh-CN"/>
              </w:rPr>
              <w:t>22年552日</w:t>
            </w:r>
            <w:r>
              <w:rPr>
                <w:rFonts w:hint="eastAsia"/>
              </w:rPr>
              <w:t>法律法规基础知识培训</w:t>
            </w:r>
            <w:r>
              <w:rPr>
                <w:rFonts w:hint="eastAsia"/>
                <w:lang w:val="en-US" w:eastAsia="zh-CN"/>
              </w:rPr>
              <w:t>，培训内容：</w:t>
            </w:r>
            <w:r>
              <w:rPr>
                <w:rFonts w:hint="eastAsia"/>
              </w:rPr>
              <w:t>行业涉及法律法规条文培训中华人民共和国环境保护法、中华人民共和国消防法。培训教师：</w:t>
            </w:r>
            <w:r>
              <w:rPr>
                <w:rFonts w:hint="eastAsia"/>
                <w:lang w:val="en-US" w:eastAsia="zh-CN"/>
              </w:rPr>
              <w:t>杨松</w:t>
            </w:r>
            <w:r>
              <w:rPr>
                <w:rFonts w:hint="eastAsia"/>
              </w:rPr>
              <w:t>，参加培训人员：</w:t>
            </w:r>
            <w:r>
              <w:rPr>
                <w:rFonts w:hint="eastAsia"/>
                <w:lang w:val="en-US" w:eastAsia="zh-CN"/>
              </w:rPr>
              <w:t>职能部门主要管理人员。提问考核</w:t>
            </w:r>
            <w:r>
              <w:rPr>
                <w:rFonts w:hint="eastAsia"/>
              </w:rPr>
              <w:t>，均合格</w:t>
            </w:r>
            <w:r>
              <w:rPr>
                <w:rFonts w:hint="eastAsia"/>
                <w:lang w:eastAsia="zh-CN"/>
              </w:rPr>
              <w:t>。</w:t>
            </w:r>
            <w:r>
              <w:rPr>
                <w:rFonts w:hint="eastAsia"/>
              </w:rPr>
              <w:t>训效果评价：</w:t>
            </w:r>
            <w:r>
              <w:rPr>
                <w:rFonts w:hint="eastAsia" w:ascii="宋体" w:hAnsi="宋体" w:cs="宋体"/>
                <w:sz w:val="21"/>
                <w:szCs w:val="21"/>
                <w:highlight w:val="none"/>
                <w:lang w:val="en-US" w:eastAsia="zh-CN" w:bidi="ar"/>
              </w:rPr>
              <w:t>此次培训对公司员工的</w:t>
            </w:r>
            <w:r>
              <w:rPr>
                <w:rFonts w:hint="eastAsia"/>
              </w:rPr>
              <w:t>法律法规</w:t>
            </w:r>
            <w:r>
              <w:rPr>
                <w:rFonts w:hint="eastAsia"/>
                <w:lang w:val="en-US" w:eastAsia="zh-CN"/>
              </w:rPr>
              <w:t>有新的了解，提升了员工守法经营意识</w:t>
            </w:r>
            <w:r>
              <w:rPr>
                <w:rFonts w:hint="eastAsia" w:ascii="宋体" w:hAnsi="宋体" w:cs="宋体"/>
                <w:sz w:val="21"/>
                <w:szCs w:val="21"/>
                <w:highlight w:val="none"/>
                <w:lang w:val="en-US" w:eastAsia="zh-CN" w:bidi="ar"/>
              </w:rPr>
              <w:t>，本次培训效果明显。</w:t>
            </w:r>
            <w:r>
              <w:rPr>
                <w:rFonts w:hint="eastAsia"/>
              </w:rPr>
              <w:t>评价人：</w:t>
            </w:r>
            <w:r>
              <w:rPr>
                <w:rFonts w:hint="eastAsia"/>
                <w:lang w:val="en-US" w:eastAsia="zh-CN"/>
              </w:rPr>
              <w:t>杨松。</w:t>
            </w:r>
          </w:p>
          <w:p>
            <w:pPr>
              <w:rPr>
                <w:rFonts w:hint="default"/>
                <w:lang w:val="en-US" w:eastAsia="zh-CN"/>
              </w:rPr>
            </w:pPr>
            <w:r>
              <w:rPr>
                <w:rFonts w:hint="eastAsia"/>
                <w:lang w:val="en-US" w:eastAsia="zh-CN"/>
              </w:rPr>
              <w:t>........</w:t>
            </w:r>
          </w:p>
          <w:p>
            <w:pPr>
              <w:rPr>
                <w:rFonts w:hint="eastAsia"/>
              </w:rPr>
            </w:pPr>
            <w:r>
              <w:rPr>
                <w:rFonts w:hint="eastAsia"/>
              </w:rPr>
              <w:t>其余培训均按计划完成。</w:t>
            </w:r>
          </w:p>
          <w:p>
            <w:pPr>
              <w:pStyle w:val="2"/>
              <w:rPr>
                <w:rFonts w:hint="default"/>
                <w:lang w:val="en-US" w:eastAsia="zh-CN"/>
              </w:rPr>
            </w:pPr>
            <w:r>
              <w:rPr>
                <w:rFonts w:hint="eastAsia" w:ascii="Times New Roman" w:hAnsi="Times New Roman" w:eastAsia="宋体" w:cs="Times New Roman"/>
                <w:bCs w:val="0"/>
                <w:spacing w:val="0"/>
                <w:kern w:val="2"/>
                <w:sz w:val="21"/>
                <w:lang w:val="en-US" w:eastAsia="zh-CN" w:bidi="ar-SA"/>
              </w:rPr>
              <w:t>上次审核发现的未按期实施</w:t>
            </w:r>
            <w:r>
              <w:rPr>
                <w:rFonts w:hint="default" w:ascii="Times New Roman" w:hAnsi="Times New Roman" w:eastAsia="宋体" w:cs="Times New Roman"/>
                <w:bCs w:val="0"/>
                <w:spacing w:val="0"/>
                <w:kern w:val="2"/>
                <w:sz w:val="21"/>
                <w:lang w:val="en-US" w:eastAsia="zh-CN" w:bidi="ar-SA"/>
              </w:rPr>
              <w:t>培训</w:t>
            </w:r>
            <w:r>
              <w:rPr>
                <w:rFonts w:hint="eastAsia" w:ascii="Times New Roman" w:hAnsi="Times New Roman" w:eastAsia="宋体" w:cs="Times New Roman"/>
                <w:bCs w:val="0"/>
                <w:spacing w:val="0"/>
                <w:kern w:val="2"/>
                <w:sz w:val="21"/>
                <w:lang w:val="en-US" w:eastAsia="zh-CN" w:bidi="ar-SA"/>
              </w:rPr>
              <w:t>的不符合项得到改善。</w:t>
            </w:r>
          </w:p>
        </w:tc>
        <w:tc>
          <w:tcPr>
            <w:tcW w:w="1164" w:type="dxa"/>
            <w:vAlign w:val="top"/>
          </w:tcPr>
          <w:p>
            <w:pPr>
              <w:rPr>
                <w:rFonts w:hint="eastAsia" w:eastAsia="宋体"/>
                <w:color w:val="auto"/>
                <w:lang w:val="en-US" w:eastAsia="zh-CN"/>
              </w:rPr>
            </w:pPr>
            <w:r>
              <w:rPr>
                <w:rFonts w:hint="eastAsia"/>
                <w:color w:val="auto"/>
                <w:lang w:val="en-US" w:eastAsia="zh-CN"/>
              </w:rPr>
              <w:t>符合</w:t>
            </w: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color w:val="auto"/>
              </w:rPr>
            </w:pPr>
          </w:p>
          <w:p>
            <w:pPr>
              <w:pStyle w:val="13"/>
              <w:rPr>
                <w:rFonts w:hint="eastAsia" w:eastAsia="宋体"/>
                <w:color w:val="auto"/>
                <w:lang w:val="en-US" w:eastAsia="zh-CN"/>
              </w:rPr>
            </w:pPr>
          </w:p>
          <w:p>
            <w:pPr>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color w:val="auto"/>
                <w:sz w:val="21"/>
                <w:szCs w:val="21"/>
              </w:rPr>
            </w:pPr>
            <w:r>
              <w:rPr>
                <w:rFonts w:hint="eastAsia" w:ascii="宋体" w:hAnsi="宋体"/>
                <w:color w:val="auto"/>
                <w:sz w:val="21"/>
                <w:szCs w:val="21"/>
              </w:rPr>
              <w:t>运行的策划与控制</w:t>
            </w:r>
          </w:p>
          <w:p>
            <w:pPr>
              <w:adjustRightInd w:val="0"/>
              <w:snapToGrid w:val="0"/>
              <w:jc w:val="left"/>
              <w:rPr>
                <w:color w:val="auto"/>
              </w:rPr>
            </w:pPr>
          </w:p>
        </w:tc>
        <w:tc>
          <w:tcPr>
            <w:tcW w:w="960" w:type="dxa"/>
            <w:vAlign w:val="top"/>
          </w:tcPr>
          <w:p>
            <w:pPr>
              <w:adjustRightInd w:val="0"/>
              <w:snapToGrid w:val="0"/>
              <w:rPr>
                <w:color w:val="auto"/>
              </w:rPr>
            </w:pPr>
            <w:r>
              <w:rPr>
                <w:rFonts w:hint="eastAsia" w:ascii="宋体" w:hAnsi="宋体"/>
                <w:color w:val="auto"/>
                <w:sz w:val="21"/>
                <w:szCs w:val="21"/>
              </w:rPr>
              <w:t>8.1</w:t>
            </w:r>
          </w:p>
        </w:tc>
        <w:tc>
          <w:tcPr>
            <w:tcW w:w="10425" w:type="dxa"/>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◆组织制定了环境运行相关的控制程序及相应的控制准则，如废弃物排放控制、相关方环境安全管理办法、消防管理制度、火灾预防应急准备和响应管理等过程的运行准则。</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◆根据过程的运行准则，组织实施资源能源的消耗控制、火灾预防等过程的控制，避免和减少了环境的损失。</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◆消防设施检查、节能降耗运行检查、火灾预防运行检查等关键运行控制信息的证据都以记录或文件的方式保留。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 xml:space="preserve"> ◆抽查环</w:t>
            </w:r>
            <w:r>
              <w:rPr>
                <w:rFonts w:hint="eastAsia" w:ascii="宋体" w:hAnsi="宋体" w:eastAsia="宋体" w:cs="宋体"/>
                <w:color w:val="auto"/>
                <w:sz w:val="21"/>
                <w:szCs w:val="21"/>
                <w:highlight w:val="none"/>
              </w:rPr>
              <w:t>境运行的策划与控制实施</w:t>
            </w:r>
          </w:p>
          <w:p>
            <w:pPr>
              <w:pStyle w:val="13"/>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查看：办公环节的主要固废为：废纸、废办公用品、以及生活垃圾等。</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固体废弃物排放的管控：</w:t>
            </w:r>
          </w:p>
          <w:p>
            <w:pPr>
              <w:pStyle w:val="14"/>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制定并实施《 固体废弃物管理规定》中固体废弃物控制要求。行政部负责废弃物的分类、收集、保管、由市政环卫统一处理。办公区域分设：可回收一般废弃物、不可回收一般废弃物收集容器，员工能按要求分类放置固体废弃物。</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火灾预防</w:t>
            </w:r>
            <w:r>
              <w:rPr>
                <w:rFonts w:hint="eastAsia" w:ascii="宋体" w:hAnsi="宋体" w:eastAsia="宋体" w:cs="宋体"/>
                <w:color w:val="auto"/>
                <w:sz w:val="21"/>
                <w:szCs w:val="21"/>
                <w:lang w:val="en-US"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  制定并实施</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应急准备与响应控制规范</w:t>
            </w:r>
            <w:r>
              <w:rPr>
                <w:rFonts w:hint="eastAsia" w:ascii="宋体" w:hAnsi="宋体" w:eastAsia="宋体" w:cs="宋体"/>
                <w:bCs/>
                <w:color w:val="auto"/>
                <w:sz w:val="21"/>
                <w:szCs w:val="21"/>
              </w:rPr>
              <w:t>》</w:t>
            </w:r>
            <w:r>
              <w:rPr>
                <w:rFonts w:hint="eastAsia" w:ascii="宋体" w:hAnsi="宋体" w:eastAsia="宋体" w:cs="宋体"/>
                <w:color w:val="auto"/>
                <w:sz w:val="21"/>
                <w:szCs w:val="21"/>
              </w:rPr>
              <w:t>。</w:t>
            </w:r>
          </w:p>
          <w:p>
            <w:pPr>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rPr>
              <w:t xml:space="preserve">  </w:t>
            </w:r>
            <w:r>
              <w:rPr>
                <w:rFonts w:hint="eastAsia" w:ascii="宋体" w:hAnsi="宋体" w:eastAsia="宋体" w:cs="宋体"/>
                <w:color w:val="auto"/>
                <w:sz w:val="21"/>
                <w:szCs w:val="21"/>
                <w:lang w:val="en-US" w:eastAsia="zh-CN"/>
              </w:rPr>
              <w:t>查见行政办公区域</w:t>
            </w:r>
            <w:r>
              <w:rPr>
                <w:rFonts w:hint="eastAsia" w:ascii="宋体" w:hAnsi="宋体" w:eastAsia="宋体" w:cs="宋体"/>
                <w:color w:val="auto"/>
                <w:sz w:val="21"/>
                <w:szCs w:val="21"/>
              </w:rPr>
              <w:t>，按要求配备</w:t>
            </w:r>
            <w:r>
              <w:rPr>
                <w:rFonts w:hint="eastAsia" w:ascii="宋体" w:hAnsi="宋体" w:eastAsia="宋体" w:cs="宋体"/>
                <w:bCs/>
                <w:color w:val="auto"/>
                <w:sz w:val="21"/>
                <w:szCs w:val="21"/>
              </w:rPr>
              <w:t>灭火器</w:t>
            </w:r>
            <w:r>
              <w:rPr>
                <w:rFonts w:hint="eastAsia" w:ascii="宋体" w:hAnsi="宋体" w:eastAsia="宋体" w:cs="宋体"/>
                <w:color w:val="auto"/>
                <w:sz w:val="21"/>
                <w:szCs w:val="21"/>
              </w:rPr>
              <w:t>并每月点检记录；对可能产生火灾隐患的区域予以重点排查，若发现问题及时上报、整改。</w:t>
            </w:r>
            <w:r>
              <w:rPr>
                <w:rFonts w:hint="eastAsia" w:ascii="宋体" w:hAnsi="宋体" w:eastAsia="宋体" w:cs="宋体"/>
                <w:color w:val="auto"/>
                <w:sz w:val="21"/>
                <w:szCs w:val="21"/>
                <w:lang w:val="en-US" w:eastAsia="zh-CN"/>
              </w:rPr>
              <w:t>提供有202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1月</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月点检记录表，结论：符合。检查人：罗琼。</w:t>
            </w:r>
          </w:p>
          <w:p>
            <w:p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另查：提供有202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月环境运行检查记录表，检查内容：固废分类、固废管理 、事故管理执行情况、安全标识使用情况等，均符合标准要求。检查人：罗琼。</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经确认：实</w:t>
            </w:r>
            <w:r>
              <w:rPr>
                <w:rFonts w:hint="eastAsia" w:ascii="宋体" w:hAnsi="宋体" w:eastAsia="宋体" w:cs="宋体"/>
                <w:color w:val="auto"/>
                <w:sz w:val="21"/>
                <w:szCs w:val="21"/>
                <w:highlight w:val="none"/>
              </w:rPr>
              <w:t>物及其状态、人员行为及相关记录均符合要求。</w:t>
            </w:r>
          </w:p>
        </w:tc>
        <w:tc>
          <w:tcPr>
            <w:tcW w:w="1164" w:type="dxa"/>
          </w:tcPr>
          <w:p>
            <w:pPr>
              <w:rPr>
                <w:rFonts w:hint="eastAsia" w:ascii="宋体" w:hAnsi="宋体" w:eastAsia="宋体" w:cs="宋体"/>
                <w:color w:val="auto"/>
              </w:rPr>
            </w:pPr>
            <w:r>
              <w:rPr>
                <w:rFonts w:hint="eastAsia" w:ascii="宋体" w:hAnsi="宋体" w:eastAsia="宋体" w:cs="宋体"/>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应急准备和响应</w:t>
            </w:r>
          </w:p>
        </w:tc>
        <w:tc>
          <w:tcPr>
            <w:tcW w:w="960" w:type="dxa"/>
            <w:vAlign w:val="top"/>
          </w:tcPr>
          <w:p>
            <w:pPr>
              <w:rPr>
                <w:color w:val="auto"/>
              </w:rPr>
            </w:pPr>
            <w:r>
              <w:rPr>
                <w:rFonts w:hint="eastAsia" w:ascii="宋体" w:hAnsi="宋体" w:cs="新宋体"/>
                <w:color w:val="auto"/>
                <w:sz w:val="21"/>
                <w:szCs w:val="21"/>
              </w:rPr>
              <w:t>8.2</w:t>
            </w:r>
          </w:p>
        </w:tc>
        <w:tc>
          <w:tcPr>
            <w:tcW w:w="10425" w:type="dxa"/>
            <w:vAlign w:val="top"/>
          </w:tcPr>
          <w:p>
            <w:pPr>
              <w:spacing w:line="400" w:lineRule="atLeast"/>
              <w:ind w:firstLine="420" w:firstLineChars="200"/>
              <w:rPr>
                <w:rFonts w:hint="eastAsia" w:ascii="宋体" w:hAnsi="Times New Roman" w:cs="宋体"/>
                <w:color w:val="auto"/>
                <w:sz w:val="21"/>
                <w:szCs w:val="21"/>
                <w:lang w:bidi="ar"/>
              </w:rPr>
            </w:pPr>
            <w:r>
              <w:rPr>
                <w:rFonts w:hint="eastAsia" w:cs="宋体"/>
                <w:color w:val="auto"/>
                <w:sz w:val="21"/>
                <w:szCs w:val="21"/>
                <w:lang w:bidi="ar"/>
              </w:rPr>
              <w:t>查见：《</w:t>
            </w:r>
            <w:r>
              <w:rPr>
                <w:rFonts w:hint="eastAsia" w:ascii="宋体" w:hAnsi="宋体" w:cs="宋体"/>
                <w:color w:val="auto"/>
                <w:sz w:val="21"/>
                <w:szCs w:val="21"/>
                <w:lang w:eastAsia="zh-CN" w:bidi="ar"/>
              </w:rPr>
              <w:t>应急准备与响应控制规范</w:t>
            </w:r>
            <w:r>
              <w:rPr>
                <w:rFonts w:hint="eastAsia" w:cs="宋体"/>
                <w:color w:val="auto"/>
                <w:sz w:val="21"/>
                <w:szCs w:val="21"/>
                <w:lang w:bidi="ar"/>
              </w:rPr>
              <w:t>》、</w:t>
            </w:r>
            <w:r>
              <w:rPr>
                <w:rFonts w:hint="eastAsia" w:ascii="宋体" w:hAnsi="Times New Roman" w:cs="宋体"/>
                <w:color w:val="auto"/>
                <w:sz w:val="21"/>
                <w:szCs w:val="21"/>
                <w:lang w:bidi="ar"/>
              </w:rPr>
              <w:t>《消防火灾应急预案》</w:t>
            </w:r>
            <w:r>
              <w:rPr>
                <w:rFonts w:hint="eastAsia" w:ascii="宋体" w:cs="宋体"/>
                <w:color w:val="auto"/>
                <w:sz w:val="21"/>
                <w:szCs w:val="21"/>
                <w:lang w:eastAsia="zh-CN" w:bidi="ar"/>
              </w:rPr>
              <w:t>、</w:t>
            </w:r>
            <w:r>
              <w:rPr>
                <w:rFonts w:hint="eastAsia" w:cs="宋体"/>
                <w:color w:val="auto"/>
                <w:sz w:val="21"/>
                <w:szCs w:val="21"/>
                <w:lang w:bidi="ar"/>
              </w:rPr>
              <w:t>《</w:t>
            </w:r>
            <w:r>
              <w:rPr>
                <w:rFonts w:hint="eastAsia" w:cs="宋体"/>
                <w:color w:val="auto"/>
                <w:sz w:val="21"/>
                <w:szCs w:val="21"/>
                <w:lang w:val="en-US" w:eastAsia="zh-CN" w:bidi="ar"/>
              </w:rPr>
              <w:t>固体废弃物管理规定</w:t>
            </w:r>
            <w:r>
              <w:rPr>
                <w:rFonts w:hint="eastAsia" w:cs="宋体"/>
                <w:color w:val="auto"/>
                <w:sz w:val="21"/>
                <w:szCs w:val="21"/>
                <w:lang w:bidi="ar"/>
              </w:rPr>
              <w:t>》等</w:t>
            </w:r>
            <w:r>
              <w:rPr>
                <w:rFonts w:hint="eastAsia" w:ascii="宋体" w:hAnsi="Times New Roman" w:cs="宋体"/>
                <w:color w:val="auto"/>
                <w:sz w:val="21"/>
                <w:szCs w:val="21"/>
                <w:lang w:bidi="ar"/>
              </w:rPr>
              <w:t>。</w:t>
            </w:r>
          </w:p>
          <w:p>
            <w:pPr>
              <w:spacing w:line="400" w:lineRule="atLeast"/>
              <w:ind w:firstLine="420" w:firstLineChars="200"/>
              <w:rPr>
                <w:rFonts w:hint="eastAsia" w:ascii="Times New Roman" w:hAnsi="Times New Roman" w:eastAsia="宋体" w:cs="宋体"/>
                <w:color w:val="auto"/>
                <w:sz w:val="21"/>
                <w:szCs w:val="21"/>
                <w:lang w:val="en-US" w:eastAsia="zh-CN" w:bidi="ar"/>
              </w:rPr>
            </w:pPr>
            <w:r>
              <w:rPr>
                <w:rFonts w:hint="eastAsia" w:ascii="宋体" w:hAnsi="Times New Roman" w:cs="宋体"/>
                <w:color w:val="auto"/>
                <w:sz w:val="21"/>
                <w:szCs w:val="21"/>
                <w:lang w:bidi="ar"/>
              </w:rPr>
              <w:t>查见：消防演练实况记录：</w:t>
            </w:r>
            <w:r>
              <w:rPr>
                <w:rFonts w:hint="eastAsia" w:ascii="Times New Roman" w:hAnsi="Times New Roman" w:eastAsia="宋体" w:cs="宋体"/>
                <w:color w:val="auto"/>
                <w:sz w:val="21"/>
                <w:szCs w:val="21"/>
                <w:lang w:val="en-US" w:eastAsia="zh-CN" w:bidi="ar"/>
              </w:rPr>
              <w:t>2022年3月8日相关人员参加了由行政部组织的火灾应急演习。演习地点：公司办公楼前空旷地处。演习过程：防火、逃生和灭火器的使用培训；发现火警、报警并紧急疏散人员；处置火情等。</w:t>
            </w:r>
          </w:p>
          <w:p>
            <w:pPr>
              <w:spacing w:line="400" w:lineRule="atLeast"/>
              <w:ind w:firstLine="420" w:firstLineChars="200"/>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atLeast"/>
              <w:ind w:firstLine="420" w:firstLineChars="200"/>
              <w:rPr>
                <w:rFonts w:hint="eastAsia" w:ascii="Times New Roman" w:hAnsi="Times New Roman" w:eastAsia="宋体" w:cs="宋体"/>
                <w:color w:val="auto"/>
                <w:sz w:val="21"/>
                <w:szCs w:val="21"/>
                <w:lang w:val="en-US" w:eastAsia="zh-CN" w:bidi="ar"/>
              </w:rPr>
            </w:pPr>
            <w:r>
              <w:rPr>
                <w:rFonts w:hint="eastAsia" w:ascii="Times New Roman" w:hAnsi="Times New Roman" w:eastAsia="宋体" w:cs="宋体"/>
                <w:color w:val="auto"/>
                <w:sz w:val="21"/>
                <w:szCs w:val="21"/>
                <w:lang w:val="en-US" w:eastAsia="zh-CN" w:bidi="ar"/>
              </w:rPr>
              <w:t>应急准备：在公司办公区域，按要求配置灭火器。</w:t>
            </w:r>
          </w:p>
          <w:p>
            <w:pPr>
              <w:spacing w:line="400" w:lineRule="atLeast"/>
              <w:ind w:firstLine="420" w:firstLineChars="200"/>
              <w:rPr>
                <w:color w:val="auto"/>
              </w:rPr>
            </w:pP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监视、测量、分析与评估</w:t>
            </w:r>
          </w:p>
        </w:tc>
        <w:tc>
          <w:tcPr>
            <w:tcW w:w="960" w:type="dxa"/>
            <w:vAlign w:val="top"/>
          </w:tcPr>
          <w:p>
            <w:pPr>
              <w:rPr>
                <w:color w:val="auto"/>
              </w:rPr>
            </w:pPr>
            <w:r>
              <w:rPr>
                <w:rFonts w:hint="eastAsia" w:ascii="宋体" w:hAnsi="宋体" w:cs="新宋体"/>
                <w:color w:val="auto"/>
                <w:sz w:val="21"/>
                <w:szCs w:val="21"/>
              </w:rPr>
              <w:t xml:space="preserve">9.1 </w:t>
            </w:r>
          </w:p>
        </w:tc>
        <w:tc>
          <w:tcPr>
            <w:tcW w:w="10425" w:type="dxa"/>
            <w:vAlign w:val="top"/>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----有《监测资源控制规范》和管理文件。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bidi="ar"/>
              </w:rPr>
              <w:t>20</w:t>
            </w:r>
            <w:r>
              <w:rPr>
                <w:rFonts w:hint="eastAsia" w:ascii="宋体" w:hAnsi="宋体" w:cs="宋体"/>
                <w:color w:val="auto"/>
                <w:sz w:val="21"/>
                <w:szCs w:val="21"/>
                <w:lang w:val="en-US" w:eastAsia="zh-CN" w:bidi="ar"/>
              </w:rPr>
              <w:t>22</w:t>
            </w:r>
            <w:r>
              <w:rPr>
                <w:rFonts w:hint="eastAsia" w:ascii="宋体" w:hAnsi="宋体" w:cs="宋体"/>
                <w:color w:val="auto"/>
                <w:sz w:val="21"/>
                <w:szCs w:val="21"/>
                <w:lang w:bidi="ar"/>
              </w:rPr>
              <w:t>年</w:t>
            </w:r>
            <w:r>
              <w:rPr>
                <w:rFonts w:hint="eastAsia" w:ascii="宋体" w:hAnsi="宋体" w:cs="宋体"/>
                <w:color w:val="auto"/>
                <w:sz w:val="21"/>
                <w:szCs w:val="21"/>
                <w:lang w:val="en-US" w:eastAsia="zh-CN" w:bidi="ar"/>
              </w:rPr>
              <w:t>1月</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月份，公司对消防器材、用电安全进行了检查，均合格。</w:t>
            </w:r>
          </w:p>
          <w:p>
            <w:pPr>
              <w:spacing w:line="400" w:lineRule="exact"/>
              <w:ind w:firstLine="420" w:firstLineChars="200"/>
              <w:rPr>
                <w:rFonts w:hint="default" w:ascii="宋体" w:hAnsi="宋体" w:cs="宋体"/>
                <w:color w:val="auto"/>
                <w:sz w:val="21"/>
                <w:szCs w:val="21"/>
                <w:lang w:val="en-US" w:eastAsia="zh-CN" w:bidi="ar"/>
              </w:rPr>
            </w:pPr>
            <w:r>
              <w:rPr>
                <w:rFonts w:hint="eastAsia" w:ascii="宋体" w:hAnsi="宋体" w:cs="宋体"/>
                <w:color w:val="auto"/>
                <w:sz w:val="21"/>
                <w:szCs w:val="21"/>
                <w:lang w:bidi="ar"/>
              </w:rPr>
              <w:t>检查人：</w:t>
            </w:r>
            <w:r>
              <w:rPr>
                <w:rFonts w:hint="eastAsia" w:ascii="宋体" w:hAnsi="宋体" w:eastAsia="宋体" w:cs="宋体"/>
                <w:color w:val="auto"/>
                <w:sz w:val="21"/>
                <w:szCs w:val="21"/>
                <w:lang w:val="en-US" w:eastAsia="zh-CN"/>
              </w:rPr>
              <w:t>罗琼</w:t>
            </w:r>
          </w:p>
          <w:p>
            <w:pPr>
              <w:rPr>
                <w:rFonts w:hint="eastAsia" w:ascii="宋体" w:hAnsi="宋体" w:cs="宋体"/>
                <w:color w:val="auto"/>
                <w:sz w:val="21"/>
                <w:szCs w:val="21"/>
                <w:lang w:bidi="ar"/>
              </w:rPr>
            </w:pPr>
            <w:r>
              <w:rPr>
                <w:rFonts w:hint="eastAsia" w:ascii="宋体" w:hAnsi="宋体" w:cs="宋体"/>
                <w:color w:val="auto"/>
                <w:sz w:val="21"/>
                <w:szCs w:val="21"/>
                <w:lang w:bidi="ar"/>
              </w:rPr>
              <w:t>◆ 查《消防安全检查记录》，由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组织实施对公司各部门的安全消防管理进行监控检查，每月一次。</w:t>
            </w:r>
          </w:p>
          <w:p>
            <w:pPr>
              <w:rPr>
                <w:rFonts w:hint="default" w:eastAsia="宋体"/>
                <w:color w:val="auto"/>
                <w:lang w:val="en-US" w:eastAsia="zh-CN"/>
              </w:rPr>
            </w:pPr>
            <w:r>
              <w:rPr>
                <w:rFonts w:hint="eastAsia" w:ascii="宋体" w:hAnsi="宋体" w:cs="宋体"/>
                <w:color w:val="auto"/>
                <w:sz w:val="21"/>
                <w:szCs w:val="21"/>
                <w:lang w:bidi="ar"/>
              </w:rPr>
              <w:t>◆查《环境体系运行检查记录》，由</w:t>
            </w:r>
            <w:r>
              <w:rPr>
                <w:rFonts w:hint="eastAsia" w:ascii="宋体" w:hAnsi="宋体" w:cs="宋体"/>
                <w:color w:val="auto"/>
                <w:sz w:val="21"/>
                <w:szCs w:val="21"/>
                <w:lang w:val="en-US" w:eastAsia="zh-CN" w:bidi="ar"/>
              </w:rPr>
              <w:t>行政部</w:t>
            </w:r>
            <w:r>
              <w:rPr>
                <w:rFonts w:hint="eastAsia" w:ascii="宋体" w:hAnsi="宋体" w:cs="宋体"/>
                <w:color w:val="auto"/>
                <w:sz w:val="21"/>
                <w:szCs w:val="21"/>
                <w:lang w:bidi="ar"/>
              </w:rPr>
              <w:t>组织实施对公司各部门的水电、固废、消防、控制方案等进行监控检查，每月一次</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提供有检查记录。</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符合性评估</w:t>
            </w:r>
          </w:p>
        </w:tc>
        <w:tc>
          <w:tcPr>
            <w:tcW w:w="960" w:type="dxa"/>
            <w:vAlign w:val="top"/>
          </w:tcPr>
          <w:p>
            <w:pPr>
              <w:rPr>
                <w:color w:val="auto"/>
                <w:highlight w:val="none"/>
              </w:rPr>
            </w:pPr>
            <w:r>
              <w:rPr>
                <w:rFonts w:hint="eastAsia" w:ascii="宋体" w:hAnsi="宋体" w:cs="新宋体"/>
                <w:color w:val="auto"/>
                <w:sz w:val="21"/>
                <w:szCs w:val="21"/>
                <w:highlight w:val="none"/>
              </w:rPr>
              <w:t xml:space="preserve">9.1.2 </w:t>
            </w:r>
          </w:p>
        </w:tc>
        <w:tc>
          <w:tcPr>
            <w:tcW w:w="10425" w:type="dxa"/>
            <w:vAlign w:val="top"/>
          </w:tcPr>
          <w:p>
            <w:pPr>
              <w:widowControl/>
              <w:spacing w:line="400" w:lineRule="exact"/>
              <w:jc w:val="left"/>
              <w:rPr>
                <w:rFonts w:ascii="宋体" w:hAnsi="宋体"/>
                <w:color w:val="auto"/>
                <w:sz w:val="21"/>
                <w:szCs w:val="21"/>
              </w:rPr>
            </w:pPr>
            <w:r>
              <w:rPr>
                <w:rFonts w:hint="eastAsia" w:ascii="宋体" w:hAnsi="宋体"/>
                <w:color w:val="auto"/>
                <w:sz w:val="21"/>
                <w:szCs w:val="21"/>
              </w:rPr>
              <w:t>----有《</w:t>
            </w:r>
            <w:r>
              <w:rPr>
                <w:rFonts w:hint="eastAsia" w:ascii="宋体" w:hAnsi="宋体"/>
                <w:color w:val="auto"/>
                <w:sz w:val="21"/>
                <w:szCs w:val="21"/>
                <w:lang w:eastAsia="zh-CN"/>
              </w:rPr>
              <w:t>合规性评价控制规范</w:t>
            </w:r>
            <w:r>
              <w:rPr>
                <w:rFonts w:hint="eastAsia" w:ascii="宋体" w:hAnsi="宋体"/>
                <w:color w:val="auto"/>
                <w:sz w:val="21"/>
                <w:szCs w:val="21"/>
              </w:rPr>
              <w:t>》，规定明确基本合理。</w:t>
            </w:r>
            <w:r>
              <w:rPr>
                <w:rFonts w:hint="eastAsia" w:ascii="宋体" w:hAnsi="宋体"/>
                <w:color w:val="auto"/>
                <w:sz w:val="21"/>
                <w:szCs w:val="21"/>
                <w:lang w:eastAsia="zh-CN"/>
              </w:rPr>
              <w:t>综合部</w:t>
            </w:r>
            <w:r>
              <w:rPr>
                <w:rFonts w:hint="eastAsia" w:ascii="宋体" w:hAnsi="宋体"/>
                <w:color w:val="auto"/>
                <w:sz w:val="21"/>
                <w:szCs w:val="21"/>
              </w:rPr>
              <w:t>组织对公司环境管理活动，遵守相关法律法规和其他要求情况进行评价，评价结果符合相关法律法规和其他要求，无违法违规情况并保持有合规性评价记录。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color w:val="auto"/>
                <w:sz w:val="21"/>
                <w:szCs w:val="21"/>
              </w:rPr>
            </w:pPr>
            <w:r>
              <w:rPr>
                <w:rFonts w:hint="eastAsia" w:ascii="宋体" w:hAnsi="宋体"/>
                <w:color w:val="auto"/>
                <w:sz w:val="21"/>
                <w:szCs w:val="21"/>
              </w:rPr>
              <w:t>查由</w:t>
            </w:r>
            <w:r>
              <w:rPr>
                <w:rFonts w:hint="eastAsia" w:ascii="宋体" w:hAnsi="宋体"/>
                <w:color w:val="auto"/>
                <w:sz w:val="21"/>
                <w:szCs w:val="21"/>
                <w:lang w:eastAsia="zh-CN"/>
              </w:rPr>
              <w:t>综合部</w:t>
            </w:r>
            <w:r>
              <w:rPr>
                <w:rFonts w:hint="eastAsia" w:ascii="宋体" w:hAnsi="宋体"/>
                <w:color w:val="auto"/>
                <w:sz w:val="21"/>
                <w:szCs w:val="21"/>
              </w:rPr>
              <w:t>组织各部门</w:t>
            </w:r>
            <w:r>
              <w:rPr>
                <w:rFonts w:hint="eastAsia" w:ascii="宋体" w:hAnsi="宋体" w:eastAsia="宋体" w:cs="Times New Roman"/>
                <w:color w:val="auto"/>
                <w:sz w:val="21"/>
                <w:szCs w:val="21"/>
              </w:rPr>
              <w:t>于20</w:t>
            </w:r>
            <w:r>
              <w:rPr>
                <w:rFonts w:hint="eastAsia" w:ascii="宋体" w:hAnsi="宋体" w:eastAsia="宋体" w:cs="Times New Roman"/>
                <w:color w:val="auto"/>
                <w:sz w:val="21"/>
                <w:szCs w:val="21"/>
                <w:lang w:val="en-US" w:eastAsia="zh-CN"/>
              </w:rPr>
              <w:t>2</w:t>
            </w:r>
            <w:r>
              <w:rPr>
                <w:rFonts w:hint="eastAsia" w:ascii="宋体" w:hAnsi="宋体" w:cs="Times New Roman"/>
                <w:color w:val="auto"/>
                <w:sz w:val="21"/>
                <w:szCs w:val="21"/>
                <w:lang w:val="en-US" w:eastAsia="zh-CN"/>
              </w:rPr>
              <w:t>2年4月20日</w:t>
            </w:r>
            <w:r>
              <w:rPr>
                <w:rFonts w:hint="eastAsia" w:ascii="宋体" w:hAnsi="宋体" w:eastAsia="宋体" w:cs="Times New Roman"/>
                <w:color w:val="auto"/>
                <w:sz w:val="21"/>
                <w:szCs w:val="21"/>
              </w:rPr>
              <w:t>对公司管理和经</w:t>
            </w:r>
            <w:r>
              <w:rPr>
                <w:rFonts w:hint="eastAsia" w:ascii="宋体" w:hAnsi="宋体"/>
                <w:color w:val="auto"/>
                <w:sz w:val="21"/>
                <w:szCs w:val="21"/>
              </w:rPr>
              <w:t>营活动中涉及的重要环境因素、法律法规进行了评价。</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评价结论：符合</w:t>
            </w:r>
          </w:p>
          <w:p>
            <w:pPr>
              <w:widowControl/>
              <w:spacing w:line="400" w:lineRule="exact"/>
              <w:jc w:val="left"/>
              <w:rPr>
                <w:rFonts w:hint="eastAsia" w:ascii="宋体" w:hAnsi="宋体"/>
                <w:color w:val="auto"/>
                <w:sz w:val="21"/>
                <w:szCs w:val="21"/>
              </w:rPr>
            </w:pPr>
            <w:r>
              <w:rPr>
                <w:rFonts w:hint="eastAsia" w:ascii="宋体" w:hAnsi="宋体"/>
                <w:color w:val="auto"/>
                <w:sz w:val="21"/>
                <w:szCs w:val="21"/>
              </w:rPr>
              <w:t>评</w:t>
            </w:r>
            <w:r>
              <w:rPr>
                <w:rFonts w:hint="eastAsia" w:ascii="宋体" w:hAnsi="宋体" w:eastAsia="宋体" w:cs="Times New Roman"/>
                <w:color w:val="auto"/>
                <w:sz w:val="21"/>
                <w:szCs w:val="21"/>
              </w:rPr>
              <w:t>价人：</w:t>
            </w:r>
            <w:r>
              <w:rPr>
                <w:rFonts w:hint="eastAsia" w:ascii="宋体" w:hAnsi="宋体" w:cs="Times New Roman"/>
                <w:color w:val="auto"/>
                <w:sz w:val="21"/>
                <w:szCs w:val="21"/>
                <w:lang w:eastAsia="zh-CN"/>
              </w:rPr>
              <w:t>杨松</w:t>
            </w:r>
            <w:r>
              <w:rPr>
                <w:rFonts w:hint="eastAsia" w:ascii="宋体" w:hAnsi="宋体" w:eastAsia="宋体" w:cs="Times New Roman"/>
                <w:color w:val="auto"/>
                <w:sz w:val="21"/>
                <w:szCs w:val="21"/>
                <w:lang w:eastAsia="zh-CN"/>
              </w:rPr>
              <w:t>、</w:t>
            </w:r>
            <w:r>
              <w:rPr>
                <w:rFonts w:hint="eastAsia" w:ascii="宋体" w:hAnsi="宋体" w:cs="Times New Roman"/>
                <w:color w:val="auto"/>
                <w:sz w:val="21"/>
                <w:szCs w:val="21"/>
                <w:lang w:val="en-US" w:eastAsia="zh-CN"/>
              </w:rPr>
              <w:t>罗琼</w:t>
            </w:r>
            <w:r>
              <w:rPr>
                <w:rFonts w:hint="eastAsia" w:ascii="宋体" w:hAnsi="宋体" w:eastAsia="宋体" w:cs="Times New Roman"/>
                <w:color w:val="auto"/>
                <w:sz w:val="21"/>
                <w:szCs w:val="21"/>
                <w:lang w:val="en-US" w:eastAsia="zh-CN"/>
              </w:rPr>
              <w:t>等</w:t>
            </w:r>
            <w:r>
              <w:rPr>
                <w:rFonts w:hint="eastAsia" w:ascii="宋体" w:hAnsi="宋体" w:eastAsia="宋体" w:cs="Times New Roman"/>
                <w:color w:val="auto"/>
                <w:sz w:val="21"/>
                <w:szCs w:val="21"/>
              </w:rPr>
              <w:t xml:space="preserve"> </w:t>
            </w:r>
          </w:p>
          <w:p>
            <w:pPr>
              <w:widowControl/>
              <w:spacing w:line="400" w:lineRule="exact"/>
              <w:jc w:val="left"/>
              <w:rPr>
                <w:rFonts w:hint="default" w:ascii="宋体" w:hAnsi="宋体" w:eastAsia="宋体" w:cs="宋体"/>
                <w:color w:val="auto"/>
                <w:kern w:val="2"/>
                <w:sz w:val="21"/>
                <w:szCs w:val="21"/>
                <w:lang w:val="en-US" w:eastAsia="zh-CN" w:bidi="ar"/>
              </w:rPr>
            </w:pPr>
            <w:r>
              <w:rPr>
                <w:rFonts w:hint="eastAsia" w:ascii="宋体" w:hAnsi="宋体"/>
                <w:color w:val="auto"/>
                <w:sz w:val="21"/>
                <w:szCs w:val="21"/>
              </w:rPr>
              <w:t>查：有《合规性评价报告》，有保持合规性评价的相关记录。</w:t>
            </w:r>
          </w:p>
        </w:tc>
        <w:tc>
          <w:tcPr>
            <w:tcW w:w="116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内部审核</w:t>
            </w:r>
          </w:p>
        </w:tc>
        <w:tc>
          <w:tcPr>
            <w:tcW w:w="960" w:type="dxa"/>
            <w:vAlign w:val="top"/>
          </w:tcPr>
          <w:p>
            <w:pPr>
              <w:rPr>
                <w:rFonts w:hint="eastAsia" w:ascii="宋体" w:hAnsi="宋体"/>
                <w:color w:val="auto"/>
                <w:sz w:val="21"/>
                <w:szCs w:val="21"/>
                <w:highlight w:val="none"/>
              </w:rPr>
            </w:pPr>
            <w:r>
              <w:rPr>
                <w:rFonts w:hint="eastAsia" w:ascii="宋体" w:hAnsi="宋体"/>
                <w:color w:val="auto"/>
                <w:sz w:val="21"/>
                <w:szCs w:val="21"/>
                <w:highlight w:val="none"/>
              </w:rPr>
              <w:t xml:space="preserve">9.2 </w:t>
            </w:r>
          </w:p>
          <w:p>
            <w:pPr>
              <w:rPr>
                <w:rFonts w:hint="eastAsia" w:ascii="Times New Roman" w:hAnsi="Times New Roman" w:eastAsia="宋体" w:cs="Times New Roman"/>
                <w:color w:val="auto"/>
                <w:kern w:val="2"/>
                <w:sz w:val="21"/>
                <w:highlight w:val="none"/>
                <w:lang w:val="en-US" w:eastAsia="zh-CN" w:bidi="ar-SA"/>
              </w:rPr>
            </w:pPr>
          </w:p>
        </w:tc>
        <w:tc>
          <w:tcPr>
            <w:tcW w:w="10425" w:type="dxa"/>
            <w:vAlign w:val="top"/>
          </w:tcPr>
          <w:p>
            <w:pPr>
              <w:spacing w:line="360" w:lineRule="atLeast"/>
              <w:rPr>
                <w:rFonts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查，</w:t>
            </w:r>
            <w:r>
              <w:rPr>
                <w:rFonts w:hint="eastAsia" w:ascii="宋体" w:hAnsi="宋体" w:eastAsia="宋体" w:cs="Times New Roman"/>
                <w:color w:val="auto"/>
                <w:sz w:val="21"/>
                <w:szCs w:val="21"/>
                <w:highlight w:val="none"/>
              </w:rPr>
              <w:t>20</w:t>
            </w:r>
            <w:r>
              <w:rPr>
                <w:rFonts w:hint="eastAsia" w:ascii="宋体" w:hAnsi="宋体" w:eastAsia="宋体" w:cs="Times New Roman"/>
                <w:color w:val="auto"/>
                <w:sz w:val="21"/>
                <w:szCs w:val="21"/>
                <w:highlight w:val="none"/>
                <w:lang w:val="en-US" w:eastAsia="zh-CN"/>
              </w:rPr>
              <w:t>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内部</w:t>
            </w:r>
            <w:r>
              <w:rPr>
                <w:rFonts w:hint="eastAsia" w:ascii="宋体" w:hAnsi="宋体" w:eastAsia="宋体" w:cs="Times New Roman"/>
                <w:color w:val="auto"/>
                <w:sz w:val="21"/>
                <w:szCs w:val="21"/>
                <w:highlight w:val="none"/>
              </w:rPr>
              <w:t>审核计划》</w:t>
            </w:r>
          </w:p>
          <w:p>
            <w:pPr>
              <w:spacing w:line="360" w:lineRule="atLeast"/>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审核时间：</w:t>
            </w:r>
            <w:r>
              <w:rPr>
                <w:rFonts w:hint="eastAsia" w:ascii="宋体" w:hAnsi="宋体" w:eastAsia="宋体" w:cs="Times New Roman"/>
                <w:color w:val="auto"/>
                <w:sz w:val="21"/>
                <w:szCs w:val="21"/>
                <w:highlight w:val="none"/>
                <w:lang w:eastAsia="zh-CN"/>
              </w:rPr>
              <w:t>202</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年</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lang w:eastAsia="zh-CN"/>
              </w:rPr>
              <w:t>月20日</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上次内部审核时间</w:t>
            </w:r>
            <w:r>
              <w:rPr>
                <w:rFonts w:hint="eastAsia" w:ascii="宋体" w:hAnsi="宋体" w:eastAsia="宋体" w:cs="Times New Roman"/>
                <w:color w:val="auto"/>
                <w:sz w:val="21"/>
                <w:szCs w:val="21"/>
                <w:highlight w:val="none"/>
                <w:lang w:eastAsia="zh-CN"/>
              </w:rPr>
              <w:t>2021年</w:t>
            </w: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月20日</w:t>
            </w:r>
            <w:r>
              <w:rPr>
                <w:rFonts w:hint="eastAsia" w:ascii="宋体" w:hAnsi="宋体" w:eastAsia="宋体" w:cs="Times New Roman"/>
                <w:color w:val="auto"/>
                <w:sz w:val="21"/>
                <w:szCs w:val="21"/>
                <w:highlight w:val="none"/>
              </w:rPr>
              <w:t>，</w:t>
            </w:r>
            <w:r>
              <w:rPr>
                <w:rFonts w:hint="eastAsia" w:ascii="宋体" w:hAnsi="宋体"/>
                <w:color w:val="auto"/>
                <w:sz w:val="21"/>
                <w:szCs w:val="21"/>
                <w:highlight w:val="none"/>
              </w:rPr>
              <w:t>时间</w:t>
            </w:r>
            <w:r>
              <w:rPr>
                <w:rFonts w:hint="eastAsia" w:ascii="宋体" w:hAnsi="宋体"/>
                <w:color w:val="auto"/>
                <w:sz w:val="21"/>
                <w:szCs w:val="21"/>
                <w:highlight w:val="none"/>
                <w:lang w:val="en-US" w:eastAsia="zh-CN"/>
              </w:rPr>
              <w:t>间隔未</w:t>
            </w:r>
            <w:r>
              <w:rPr>
                <w:rFonts w:hint="eastAsia" w:ascii="宋体" w:hAnsi="宋体"/>
                <w:color w:val="auto"/>
                <w:sz w:val="21"/>
                <w:szCs w:val="21"/>
                <w:highlight w:val="none"/>
              </w:rPr>
              <w:t>超过12个月</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策划符合标准要求）</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目的：评定并确定现行的管理体系、方针是否符合标准的要求，运行是否有效，迎接认证公司审核；</w:t>
            </w:r>
          </w:p>
          <w:p>
            <w:pPr>
              <w:spacing w:line="360" w:lineRule="atLeast"/>
              <w:rPr>
                <w:rFonts w:hint="eastAsia" w:ascii="宋体" w:hAnsi="宋体" w:eastAsia="宋体" w:cs="Times New Roman"/>
                <w:color w:val="auto"/>
                <w:szCs w:val="21"/>
              </w:rPr>
            </w:pPr>
            <w:r>
              <w:rPr>
                <w:rFonts w:hint="eastAsia" w:ascii="宋体" w:hAnsi="宋体"/>
                <w:color w:val="auto"/>
                <w:sz w:val="21"/>
                <w:szCs w:val="21"/>
                <w:highlight w:val="none"/>
              </w:rPr>
              <w:t>范围</w:t>
            </w:r>
            <w:r>
              <w:rPr>
                <w:rFonts w:hint="eastAsia" w:ascii="宋体" w:hAnsi="宋体" w:eastAsia="宋体" w:cs="Times New Roman"/>
                <w:color w:val="auto"/>
                <w:szCs w:val="21"/>
              </w:rPr>
              <w:t>：管理手册覆盖的所有部门、过程和要素。</w:t>
            </w:r>
          </w:p>
          <w:p>
            <w:pPr>
              <w:spacing w:line="360" w:lineRule="atLeas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审核组长：</w:t>
            </w:r>
            <w:r>
              <w:rPr>
                <w:rFonts w:hint="eastAsia" w:ascii="宋体" w:hAnsi="宋体" w:cs="Times New Roman"/>
                <w:color w:val="auto"/>
                <w:szCs w:val="21"/>
                <w:lang w:val="en-US" w:eastAsia="zh-CN"/>
              </w:rPr>
              <w:t>周明群</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en-US" w:eastAsia="zh-CN"/>
              </w:rPr>
              <w:t xml:space="preserve">     组</w:t>
            </w:r>
            <w:r>
              <w:rPr>
                <w:rFonts w:hint="eastAsia" w:ascii="宋体" w:hAnsi="宋体" w:eastAsia="宋体" w:cs="Times New Roman"/>
                <w:color w:val="auto"/>
                <w:szCs w:val="21"/>
              </w:rPr>
              <w:t>员：</w:t>
            </w:r>
            <w:r>
              <w:rPr>
                <w:rFonts w:hint="eastAsia" w:ascii="宋体" w:hAnsi="宋体" w:cs="Times New Roman"/>
                <w:color w:val="auto"/>
                <w:szCs w:val="21"/>
                <w:lang w:val="en-US" w:eastAsia="zh-CN"/>
              </w:rPr>
              <w:t>罗琼</w:t>
            </w:r>
            <w:r>
              <w:rPr>
                <w:rFonts w:hint="eastAsia" w:ascii="宋体" w:hAnsi="宋体" w:eastAsia="宋体" w:cs="Times New Roman"/>
                <w:color w:val="auto"/>
                <w:szCs w:val="21"/>
              </w:rPr>
              <w:t xml:space="preserve"> </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管理层审核检查表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销售部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采购部</w:t>
            </w:r>
            <w:r>
              <w:rPr>
                <w:rFonts w:hint="eastAsia" w:ascii="宋体" w:hAnsi="宋体"/>
                <w:color w:val="auto"/>
                <w:sz w:val="21"/>
                <w:szCs w:val="21"/>
                <w:highlight w:val="none"/>
              </w:rPr>
              <w:t>审核检查表》审核记录，审核过程及条款基本齐全，不存在审核自己部门的情况。</w:t>
            </w:r>
          </w:p>
          <w:p>
            <w:pPr>
              <w:spacing w:before="156" w:beforeLines="50" w:line="3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w:t>
            </w:r>
            <w:r>
              <w:rPr>
                <w:rFonts w:hint="eastAsia" w:ascii="宋体" w:hAnsi="宋体" w:cs="Times New Roman"/>
                <w:color w:val="auto"/>
                <w:sz w:val="21"/>
                <w:szCs w:val="21"/>
                <w:highlight w:val="none"/>
              </w:rPr>
              <w:t>。</w:t>
            </w:r>
            <w:r>
              <w:rPr>
                <w:rFonts w:hint="eastAsia" w:ascii="宋体" w:hAnsi="宋体" w:cs="宋体"/>
                <w:color w:val="auto"/>
                <w:szCs w:val="21"/>
              </w:rPr>
              <w:t>涉及</w:t>
            </w:r>
            <w:r>
              <w:rPr>
                <w:rFonts w:hint="eastAsia" w:ascii="宋体" w:hAnsi="宋体" w:cs="宋体"/>
                <w:color w:val="auto"/>
                <w:szCs w:val="21"/>
                <w:lang w:val="en-US" w:eastAsia="zh-CN"/>
              </w:rPr>
              <w:t>行政部8.2条款：“</w:t>
            </w:r>
            <w:r>
              <w:rPr>
                <w:rFonts w:hint="eastAsia" w:ascii="宋体" w:hAnsi="宋体" w:eastAsia="新宋体"/>
                <w:bCs/>
                <w:color w:val="000000"/>
                <w:szCs w:val="21"/>
                <w:lang w:eastAsia="zh-CN"/>
              </w:rPr>
              <w:t>不能提供</w:t>
            </w:r>
            <w:r>
              <w:rPr>
                <w:rFonts w:hint="eastAsia" w:ascii="宋体" w:hAnsi="宋体" w:eastAsia="新宋体"/>
                <w:szCs w:val="21"/>
                <w:lang w:val="en-US" w:eastAsia="zh-CN"/>
              </w:rPr>
              <w:t>事故应急预案</w:t>
            </w:r>
            <w:r>
              <w:rPr>
                <w:rFonts w:hint="eastAsia" w:ascii="宋体" w:hAnsi="宋体" w:cs="宋体"/>
                <w:color w:val="auto"/>
                <w:szCs w:val="21"/>
                <w:lang w:val="en-US" w:eastAsia="zh-CN"/>
              </w:rPr>
              <w:t>”</w:t>
            </w:r>
            <w:r>
              <w:rPr>
                <w:rFonts w:hint="eastAsia" w:ascii="宋体" w:hAnsi="宋体" w:cs="Times New Roman"/>
                <w:color w:val="auto"/>
                <w:sz w:val="21"/>
                <w:szCs w:val="21"/>
                <w:highlight w:val="none"/>
              </w:rPr>
              <w:t>，已经对不合格原因进行了分析，制订了纠正措施，并对结</w:t>
            </w:r>
            <w:r>
              <w:rPr>
                <w:rFonts w:hint="eastAsia" w:ascii="宋体" w:hAnsi="宋体"/>
                <w:color w:val="auto"/>
                <w:sz w:val="21"/>
                <w:szCs w:val="21"/>
                <w:highlight w:val="none"/>
              </w:rPr>
              <w:t>果进行了验证。</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查，审核结论：公司环境管理体系的建立符合标准要求、实施有效。</w:t>
            </w:r>
          </w:p>
          <w:p>
            <w:pPr>
              <w:spacing w:line="360" w:lineRule="atLeast"/>
              <w:rPr>
                <w:rFonts w:hint="eastAsia" w:ascii="Times New Roman" w:hAnsi="Times New Roman" w:eastAsia="宋体" w:cs="Times New Roman"/>
                <w:color w:val="auto"/>
                <w:kern w:val="2"/>
                <w:sz w:val="21"/>
                <w:highlight w:val="none"/>
                <w:lang w:val="en-US" w:eastAsia="zh-CN" w:bidi="ar-SA"/>
              </w:rPr>
            </w:pPr>
            <w:r>
              <w:rPr>
                <w:rFonts w:hint="eastAsia" w:ascii="宋体" w:hAnsi="宋体"/>
                <w:color w:val="auto"/>
                <w:sz w:val="21"/>
                <w:szCs w:val="21"/>
                <w:highlight w:val="none"/>
              </w:rPr>
              <w:t>通过内部审核，公司环境管理体系的建立实施是有效的，符合标准要求。</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color w:val="auto"/>
                <w:sz w:val="21"/>
                <w:szCs w:val="21"/>
              </w:rPr>
            </w:pPr>
            <w:r>
              <w:rPr>
                <w:rFonts w:hint="eastAsia" w:ascii="宋体" w:hAnsi="宋体"/>
                <w:color w:val="auto"/>
                <w:sz w:val="21"/>
                <w:szCs w:val="21"/>
              </w:rPr>
              <w:t>不符合和纠正措施</w:t>
            </w:r>
          </w:p>
          <w:p>
            <w:pPr>
              <w:adjustRightInd w:val="0"/>
              <w:snapToGrid w:val="0"/>
              <w:jc w:val="center"/>
              <w:rPr>
                <w:color w:val="auto"/>
              </w:rPr>
            </w:pPr>
          </w:p>
        </w:tc>
        <w:tc>
          <w:tcPr>
            <w:tcW w:w="960" w:type="dxa"/>
            <w:vAlign w:val="top"/>
          </w:tcPr>
          <w:p>
            <w:pPr>
              <w:rPr>
                <w:rFonts w:hint="eastAsia" w:ascii="宋体" w:hAnsi="宋体"/>
                <w:color w:val="auto"/>
                <w:sz w:val="21"/>
                <w:szCs w:val="21"/>
              </w:rPr>
            </w:pPr>
            <w:r>
              <w:rPr>
                <w:rFonts w:hint="eastAsia" w:ascii="宋体" w:hAnsi="宋体"/>
                <w:color w:val="auto"/>
                <w:sz w:val="21"/>
                <w:szCs w:val="21"/>
              </w:rPr>
              <w:t>10.2</w:t>
            </w:r>
          </w:p>
          <w:p>
            <w:pPr>
              <w:rPr>
                <w:color w:val="auto"/>
              </w:rPr>
            </w:pPr>
          </w:p>
        </w:tc>
        <w:tc>
          <w:tcPr>
            <w:tcW w:w="10425" w:type="dxa"/>
            <w:vAlign w:val="top"/>
          </w:tcPr>
          <w:p>
            <w:pPr>
              <w:spacing w:line="400" w:lineRule="atLeast"/>
              <w:rPr>
                <w:rFonts w:ascii="宋体" w:hAnsi="宋体"/>
                <w:color w:val="auto"/>
                <w:sz w:val="21"/>
                <w:szCs w:val="21"/>
                <w:highlight w:val="none"/>
              </w:rPr>
            </w:pPr>
            <w:r>
              <w:rPr>
                <w:rFonts w:hint="eastAsia" w:ascii="宋体" w:hAnsi="宋体"/>
                <w:color w:val="auto"/>
                <w:sz w:val="21"/>
                <w:szCs w:val="21"/>
                <w:highlight w:val="none"/>
              </w:rPr>
              <w:t>公司制定系列程序文件《</w:t>
            </w:r>
            <w:r>
              <w:rPr>
                <w:rFonts w:hint="eastAsia" w:ascii="宋体" w:hAnsi="宋体"/>
                <w:color w:val="auto"/>
                <w:sz w:val="21"/>
                <w:szCs w:val="21"/>
                <w:highlight w:val="none"/>
                <w:lang w:eastAsia="zh-CN"/>
              </w:rPr>
              <w:t>管理评审控制规范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不符合纠正措施控制规范</w:t>
            </w:r>
            <w:r>
              <w:rPr>
                <w:rFonts w:hint="eastAsia" w:ascii="宋体" w:hAnsi="宋体"/>
                <w:color w:val="auto"/>
                <w:sz w:val="21"/>
                <w:szCs w:val="21"/>
                <w:highlight w:val="none"/>
              </w:rPr>
              <w:t>》、《</w:t>
            </w:r>
            <w:r>
              <w:rPr>
                <w:rFonts w:hint="eastAsia" w:ascii="宋体" w:hAnsi="宋体"/>
                <w:color w:val="auto"/>
                <w:sz w:val="21"/>
                <w:szCs w:val="21"/>
                <w:highlight w:val="none"/>
                <w:lang w:eastAsia="zh-CN"/>
              </w:rPr>
              <w:t>持续改进控制规范</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内部审核控制规范</w:t>
            </w:r>
            <w:r>
              <w:rPr>
                <w:rFonts w:hint="eastAsia" w:ascii="宋体" w:hAnsi="宋体"/>
                <w:color w:val="auto"/>
                <w:sz w:val="21"/>
                <w:szCs w:val="21"/>
                <w:highlight w:val="none"/>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抽查不符合处理记录：</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提供《纠正预防措施处理单》1份</w:t>
            </w:r>
          </w:p>
          <w:p>
            <w:pPr>
              <w:spacing w:line="400" w:lineRule="atLeast"/>
              <w:rPr>
                <w:rFonts w:hint="eastAsia" w:ascii="宋体" w:hAnsi="宋体"/>
                <w:color w:val="auto"/>
                <w:sz w:val="21"/>
                <w:szCs w:val="21"/>
                <w:highlight w:val="none"/>
              </w:rPr>
            </w:pPr>
            <w:r>
              <w:rPr>
                <w:rFonts w:hint="eastAsia" w:ascii="宋体" w:hAnsi="宋体"/>
                <w:color w:val="auto"/>
                <w:sz w:val="21"/>
                <w:szCs w:val="21"/>
                <w:highlight w:val="none"/>
              </w:rPr>
              <w:t>抽1 份不合格事实：20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日</w:t>
            </w:r>
            <w:r>
              <w:rPr>
                <w:rFonts w:hint="eastAsia" w:ascii="宋体" w:hAnsi="宋体"/>
                <w:color w:val="auto"/>
                <w:sz w:val="21"/>
                <w:szCs w:val="21"/>
                <w:highlight w:val="none"/>
                <w:lang w:eastAsia="zh-CN"/>
              </w:rPr>
              <w:t>发现</w:t>
            </w:r>
            <w:r>
              <w:rPr>
                <w:rFonts w:hint="eastAsia" w:ascii="宋体" w:hAnsi="宋体"/>
                <w:color w:val="auto"/>
                <w:sz w:val="21"/>
                <w:szCs w:val="21"/>
                <w:highlight w:val="none"/>
                <w:lang w:val="en-US" w:eastAsia="zh-CN"/>
              </w:rPr>
              <w:t>办公区域设置的可回收物箱内有废弃口罩</w:t>
            </w:r>
            <w:r>
              <w:rPr>
                <w:rFonts w:hint="eastAsia" w:ascii="宋体" w:hAnsi="宋体"/>
                <w:color w:val="auto"/>
                <w:sz w:val="21"/>
                <w:szCs w:val="21"/>
                <w:highlight w:val="none"/>
              </w:rPr>
              <w:t>。已对不合格原因进行了描述分析，采取了</w:t>
            </w:r>
            <w:r>
              <w:rPr>
                <w:rFonts w:hint="eastAsia" w:ascii="宋体" w:hAnsi="宋体"/>
                <w:color w:val="auto"/>
                <w:sz w:val="21"/>
                <w:szCs w:val="21"/>
                <w:highlight w:val="none"/>
                <w:lang w:val="en-US" w:eastAsia="zh-CN"/>
              </w:rPr>
              <w:t>配置专用废弃口罩垃圾桶</w:t>
            </w:r>
            <w:r>
              <w:rPr>
                <w:rFonts w:hint="eastAsia" w:ascii="宋体" w:hAnsi="宋体"/>
                <w:color w:val="auto"/>
                <w:sz w:val="21"/>
                <w:szCs w:val="21"/>
                <w:highlight w:val="none"/>
              </w:rPr>
              <w:t>，基本符合要求。</w:t>
            </w:r>
          </w:p>
          <w:p>
            <w:pPr>
              <w:spacing w:line="400" w:lineRule="atLeast"/>
              <w:rPr>
                <w:color w:val="auto"/>
                <w:highlight w:val="none"/>
              </w:rPr>
            </w:pPr>
            <w:r>
              <w:rPr>
                <w:rFonts w:hint="eastAsia" w:ascii="宋体" w:hAnsi="宋体"/>
                <w:color w:val="auto"/>
                <w:sz w:val="21"/>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64"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rPr>
                <w:color w:val="auto"/>
              </w:rPr>
            </w:pPr>
            <w:r>
              <w:rPr>
                <w:rFonts w:hint="eastAsia" w:ascii="宋体" w:hAnsi="宋体" w:cs="新宋体"/>
                <w:color w:val="auto"/>
                <w:sz w:val="21"/>
                <w:szCs w:val="21"/>
              </w:rPr>
              <w:t>EMS运行控制相关财务支出证据</w:t>
            </w:r>
          </w:p>
        </w:tc>
        <w:tc>
          <w:tcPr>
            <w:tcW w:w="960" w:type="dxa"/>
            <w:vAlign w:val="top"/>
          </w:tcPr>
          <w:p>
            <w:pPr>
              <w:adjustRightInd w:val="0"/>
              <w:snapToGrid w:val="0"/>
              <w:rPr>
                <w:color w:val="auto"/>
              </w:rPr>
            </w:pPr>
          </w:p>
        </w:tc>
        <w:tc>
          <w:tcPr>
            <w:tcW w:w="10425" w:type="dxa"/>
            <w:vAlign w:val="top"/>
          </w:tcPr>
          <w:p>
            <w:pPr>
              <w:widowControl/>
              <w:spacing w:line="400" w:lineRule="exact"/>
              <w:jc w:val="left"/>
              <w:rPr>
                <w:rFonts w:hint="eastAsia" w:eastAsia="宋体"/>
                <w:color w:val="auto"/>
                <w:highlight w:val="none"/>
                <w:lang w:eastAsia="zh-CN"/>
              </w:rPr>
            </w:pPr>
            <w:r>
              <w:rPr>
                <w:rFonts w:hint="eastAsia" w:ascii="宋体" w:hAnsi="宋体"/>
                <w:color w:val="auto"/>
                <w:sz w:val="21"/>
                <w:szCs w:val="21"/>
                <w:highlight w:val="none"/>
              </w:rPr>
              <w:t>提供有20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年支出清单：支出项目有购置灭火器、消防演练、垃圾处置等共计</w:t>
            </w:r>
            <w:r>
              <w:rPr>
                <w:rFonts w:hint="eastAsia" w:ascii="宋体" w:hAnsi="宋体"/>
                <w:color w:val="auto"/>
                <w:sz w:val="21"/>
                <w:szCs w:val="21"/>
                <w:highlight w:val="none"/>
                <w:lang w:val="en-US" w:eastAsia="zh-CN"/>
              </w:rPr>
              <w:t>5600元。</w:t>
            </w:r>
          </w:p>
        </w:tc>
        <w:tc>
          <w:tcPr>
            <w:tcW w:w="1164" w:type="dxa"/>
          </w:tcPr>
          <w:p>
            <w:pPr>
              <w:rPr>
                <w:color w:val="auto"/>
              </w:rPr>
            </w:pPr>
            <w:r>
              <w:rPr>
                <w:rFonts w:hint="eastAsia"/>
                <w:color w:val="auto"/>
                <w:lang w:val="en-US" w:eastAsia="zh-CN"/>
              </w:rPr>
              <w:t>符合</w:t>
            </w:r>
          </w:p>
        </w:tc>
      </w:tr>
    </w:tbl>
    <w:p>
      <w:pPr>
        <w:pStyle w:val="4"/>
        <w:rPr>
          <w:color w:val="auto"/>
        </w:rPr>
      </w:pPr>
      <w:r>
        <w:rPr>
          <w:rFonts w:hint="eastAsia"/>
          <w:color w:val="auto"/>
        </w:rPr>
        <w:t>说明：不符合标注N</w:t>
      </w:r>
    </w:p>
    <w:p>
      <w:pPr>
        <w:rPr>
          <w:color w:val="auto"/>
        </w:rPr>
      </w:pPr>
    </w:p>
    <w:p>
      <w:pPr>
        <w:spacing w:line="480" w:lineRule="exact"/>
        <w:jc w:val="both"/>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8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87"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采购部，      </w:t>
            </w:r>
            <w:r>
              <w:rPr>
                <w:rFonts w:hint="eastAsia"/>
                <w:color w:val="auto"/>
                <w:sz w:val="24"/>
                <w:szCs w:val="24"/>
              </w:rPr>
              <w:t>主管领导：</w:t>
            </w:r>
            <w:r>
              <w:rPr>
                <w:rFonts w:hint="eastAsia"/>
                <w:color w:val="auto"/>
                <w:sz w:val="24"/>
                <w:lang w:val="en-US" w:eastAsia="zh-CN"/>
              </w:rPr>
              <w:t>杨松，</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val="en-US" w:eastAsia="zh-CN"/>
              </w:rPr>
              <w:t>罗琼</w:t>
            </w:r>
          </w:p>
        </w:tc>
        <w:tc>
          <w:tcPr>
            <w:tcW w:w="120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87"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w:t>
            </w:r>
            <w:r>
              <w:rPr>
                <w:rFonts w:hint="eastAsia"/>
                <w:color w:val="auto"/>
                <w:sz w:val="24"/>
                <w:szCs w:val="24"/>
              </w:rPr>
              <w:t>审核时间：</w:t>
            </w:r>
            <w:r>
              <w:rPr>
                <w:rFonts w:hint="eastAsia"/>
                <w:color w:val="auto"/>
                <w:sz w:val="24"/>
                <w:szCs w:val="24"/>
                <w:lang w:val="en-US" w:eastAsia="zh-CN"/>
              </w:rPr>
              <w:t>2022年9月16日下午</w:t>
            </w:r>
          </w:p>
        </w:tc>
        <w:tc>
          <w:tcPr>
            <w:tcW w:w="120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87" w:type="dxa"/>
            <w:vAlign w:val="center"/>
          </w:tcPr>
          <w:p>
            <w:pPr>
              <w:rPr>
                <w:color w:val="auto"/>
                <w:sz w:val="24"/>
                <w:szCs w:val="24"/>
              </w:rPr>
            </w:pPr>
            <w:r>
              <w:rPr>
                <w:rFonts w:hint="eastAsia"/>
                <w:color w:val="auto"/>
                <w:sz w:val="24"/>
                <w:szCs w:val="24"/>
              </w:rPr>
              <w:t>审核条款：</w:t>
            </w:r>
            <w:r>
              <w:rPr>
                <w:rFonts w:hint="eastAsia" w:ascii="宋体" w:hAnsi="宋体" w:cs="Times New Roman"/>
                <w:sz w:val="18"/>
                <w:szCs w:val="18"/>
                <w:highlight w:val="none"/>
              </w:rPr>
              <w:t>5.3组织的角色、职责和权限；6.1.2环境因素；6.2目标及其达成的策划；7.4沟通；8.1运行策划和控制；8.2应急准备和响应</w:t>
            </w:r>
          </w:p>
        </w:tc>
        <w:tc>
          <w:tcPr>
            <w:tcW w:w="120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 xml:space="preserve">5.3； </w:t>
            </w:r>
          </w:p>
        </w:tc>
        <w:tc>
          <w:tcPr>
            <w:tcW w:w="10387"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查，采购部的岗位职责和权限如下：</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3）负责生产过程使用的原材料、辅料的采购、运输、入库、标识、存储、领用的管理，以预防其环境紧急或潜在事故的发生；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4）负责宣传、影响主要供应商的环境行为。</w:t>
            </w:r>
          </w:p>
          <w:p>
            <w:pPr>
              <w:spacing w:line="400" w:lineRule="exact"/>
              <w:rPr>
                <w:rFonts w:hint="eastAsia" w:ascii="宋体" w:hAnsi="宋体"/>
                <w:color w:val="auto"/>
                <w:szCs w:val="21"/>
                <w:lang w:eastAsia="zh-CN"/>
              </w:rPr>
            </w:pPr>
            <w:r>
              <w:rPr>
                <w:rFonts w:hint="eastAsia" w:ascii="宋体" w:hAnsi="宋体"/>
                <w:color w:val="auto"/>
                <w:szCs w:val="21"/>
                <w:lang w:eastAsia="zh-CN"/>
              </w:rPr>
              <w:t>。。。。。。</w:t>
            </w:r>
          </w:p>
          <w:p>
            <w:pPr>
              <w:spacing w:line="400" w:lineRule="exact"/>
              <w:rPr>
                <w:rFonts w:ascii="宋体" w:hAnsi="宋体"/>
                <w:color w:val="auto"/>
                <w:szCs w:val="21"/>
              </w:rPr>
            </w:pPr>
            <w:r>
              <w:rPr>
                <w:rFonts w:hint="eastAsia" w:ascii="宋体" w:hAnsi="宋体"/>
                <w:color w:val="auto"/>
                <w:szCs w:val="21"/>
              </w:rPr>
              <w:t>部门职责清晰、明确。</w:t>
            </w:r>
          </w:p>
          <w:p>
            <w:pPr>
              <w:spacing w:line="400" w:lineRule="exact"/>
              <w:rPr>
                <w:rFonts w:ascii="宋体" w:hAnsi="宋体" w:cs="宋体"/>
                <w:color w:val="auto"/>
                <w:szCs w:val="21"/>
              </w:rPr>
            </w:pPr>
            <w:r>
              <w:rPr>
                <w:rFonts w:hint="eastAsia" w:ascii="宋体" w:hAnsi="宋体"/>
                <w:color w:val="auto"/>
                <w:szCs w:val="21"/>
              </w:rPr>
              <w:t xml:space="preserve">采购部负责人能基本阐述本部门的主要职责。 </w:t>
            </w:r>
          </w:p>
        </w:tc>
        <w:tc>
          <w:tcPr>
            <w:tcW w:w="1202"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2160" w:type="dxa"/>
          </w:tcPr>
          <w:p>
            <w:pPr>
              <w:adjustRightInd w:val="0"/>
              <w:snapToGrid w:val="0"/>
              <w:jc w:val="both"/>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6.1.2</w:t>
            </w:r>
          </w:p>
        </w:tc>
        <w:tc>
          <w:tcPr>
            <w:tcW w:w="10387"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color w:val="auto"/>
                <w:szCs w:val="21"/>
                <w:lang w:val="zh-CN"/>
              </w:rPr>
              <w:t>环境因素识别评价控制规范</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hAnsi="宋体"/>
                <w:color w:val="auto"/>
                <w:szCs w:val="21"/>
              </w:rPr>
            </w:pPr>
            <w:r>
              <w:rPr>
                <w:rFonts w:hint="eastAsia" w:ascii="宋体" w:cs="宋体"/>
                <w:color w:val="auto"/>
                <w:szCs w:val="21"/>
              </w:rPr>
              <w:t>现场查看，部门的主要工作为公司提供产品生产及销售所需原料，成品，辅料的采购。采购过程中有</w:t>
            </w:r>
            <w:r>
              <w:rPr>
                <w:rFonts w:hint="eastAsia" w:cs="宋体"/>
                <w:color w:val="auto"/>
                <w:szCs w:val="21"/>
              </w:rPr>
              <w:t>办公固废、辅料、包装箱/袋等固废，</w:t>
            </w:r>
            <w:r>
              <w:rPr>
                <w:rFonts w:hint="eastAsia" w:ascii="宋体" w:cs="宋体"/>
                <w:color w:val="auto"/>
                <w:szCs w:val="21"/>
              </w:rPr>
              <w:t>部门的环境因素识别和重要环境因素基本到位。</w:t>
            </w:r>
          </w:p>
        </w:tc>
        <w:tc>
          <w:tcPr>
            <w:tcW w:w="1202"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6.2</w:t>
            </w:r>
          </w:p>
        </w:tc>
        <w:tc>
          <w:tcPr>
            <w:tcW w:w="10387"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查采购部的环境目标为：</w:t>
            </w:r>
          </w:p>
          <w:p>
            <w:pPr>
              <w:tabs>
                <w:tab w:val="center" w:pos="4894"/>
              </w:tabs>
              <w:spacing w:line="400" w:lineRule="atLeast"/>
              <w:ind w:right="170"/>
              <w:jc w:val="left"/>
              <w:rPr>
                <w:rFonts w:ascii="宋体" w:hAnsi="宋体" w:cs="Arial"/>
                <w:iCs/>
                <w:color w:val="auto"/>
                <w:szCs w:val="21"/>
              </w:rPr>
            </w:pPr>
            <w:r>
              <w:rPr>
                <w:rFonts w:hint="eastAsia" w:ascii="宋体" w:hAnsi="宋体" w:cs="Arial"/>
                <w:iCs/>
                <w:color w:val="auto"/>
                <w:szCs w:val="21"/>
              </w:rPr>
              <w:t>环境目标</w:t>
            </w:r>
            <w:r>
              <w:rPr>
                <w:rFonts w:hint="eastAsia" w:ascii="宋体" w:hAnsi="宋体" w:cs="Arial"/>
                <w:iCs/>
                <w:color w:val="auto"/>
                <w:szCs w:val="21"/>
              </w:rPr>
              <w:tab/>
            </w:r>
            <w:r>
              <w:rPr>
                <w:rFonts w:hint="eastAsia" w:ascii="宋体" w:hAnsi="宋体" w:cs="Arial"/>
                <w:iCs/>
                <w:color w:val="auto"/>
                <w:szCs w:val="21"/>
                <w:lang w:val="en-US" w:eastAsia="zh-CN"/>
              </w:rPr>
              <w:t xml:space="preserve">         </w:t>
            </w:r>
            <w:r>
              <w:rPr>
                <w:rFonts w:hint="eastAsia" w:ascii="宋体" w:hAnsi="宋体"/>
                <w:color w:val="auto"/>
                <w:szCs w:val="21"/>
              </w:rPr>
              <w:t>考核情况（</w:t>
            </w:r>
            <w:r>
              <w:rPr>
                <w:rFonts w:hint="eastAsia" w:ascii="宋体" w:hAnsi="宋体"/>
                <w:color w:val="auto"/>
                <w:szCs w:val="21"/>
                <w:lang w:eastAsia="zh-CN"/>
              </w:rPr>
              <w:t>2021年</w:t>
            </w:r>
            <w:r>
              <w:rPr>
                <w:rFonts w:hint="eastAsia" w:ascii="宋体" w:hAnsi="宋体"/>
                <w:color w:val="auto"/>
                <w:szCs w:val="21"/>
                <w:lang w:val="en-US" w:eastAsia="zh-CN"/>
              </w:rPr>
              <w:t>12月</w:t>
            </w:r>
            <w:r>
              <w:rPr>
                <w:rFonts w:hint="eastAsia" w:ascii="宋体" w:hAnsi="宋体"/>
                <w:color w:val="auto"/>
                <w:szCs w:val="21"/>
                <w:lang w:eastAsia="zh-CN"/>
              </w:rPr>
              <w:t>-</w:t>
            </w:r>
            <w:r>
              <w:rPr>
                <w:rFonts w:hint="eastAsia" w:ascii="宋体" w:hAnsi="宋体"/>
                <w:color w:val="auto"/>
                <w:szCs w:val="21"/>
                <w:lang w:val="en-US" w:eastAsia="zh-CN"/>
              </w:rPr>
              <w:t>2022年8</w:t>
            </w:r>
            <w:r>
              <w:rPr>
                <w:rFonts w:hint="eastAsia" w:ascii="宋体" w:hAnsi="宋体"/>
                <w:color w:val="auto"/>
                <w:szCs w:val="21"/>
                <w:lang w:eastAsia="zh-CN"/>
              </w:rPr>
              <w:t>月</w:t>
            </w:r>
            <w:r>
              <w:rPr>
                <w:rFonts w:hint="eastAsia" w:ascii="宋体" w:hAnsi="宋体"/>
                <w:color w:val="auto"/>
                <w:szCs w:val="21"/>
              </w:rPr>
              <w:t>）</w:t>
            </w:r>
          </w:p>
          <w:p>
            <w:pPr>
              <w:snapToGrid w:val="0"/>
              <w:rPr>
                <w:rFonts w:ascii="宋体" w:hAnsi="宋体" w:cs="宋体"/>
                <w:color w:val="auto"/>
                <w:szCs w:val="21"/>
              </w:rPr>
            </w:pPr>
            <w:r>
              <w:rPr>
                <w:rFonts w:hint="eastAsia" w:ascii="宋体" w:hAnsi="宋体" w:cs="宋体"/>
                <w:color w:val="auto"/>
                <w:szCs w:val="21"/>
              </w:rPr>
              <w:t>1）</w:t>
            </w:r>
            <w:r>
              <w:rPr>
                <w:rFonts w:hint="eastAsia"/>
                <w:color w:val="auto"/>
                <w:szCs w:val="21"/>
                <w:lang w:eastAsia="zh-CN"/>
              </w:rPr>
              <w:t>危险废废弃物100%回收管理</w:t>
            </w:r>
            <w:r>
              <w:rPr>
                <w:rFonts w:hint="eastAsia"/>
                <w:color w:val="auto"/>
                <w:szCs w:val="21"/>
              </w:rPr>
              <w:t xml:space="preserve">；         </w:t>
            </w:r>
            <w:r>
              <w:rPr>
                <w:rFonts w:hint="eastAsia"/>
                <w:color w:val="auto"/>
                <w:szCs w:val="21"/>
                <w:lang w:val="en-US" w:eastAsia="zh-CN"/>
              </w:rPr>
              <w:t>实测：合规回收处置率达到</w:t>
            </w:r>
            <w:r>
              <w:rPr>
                <w:rFonts w:hint="eastAsia"/>
                <w:color w:val="auto"/>
                <w:szCs w:val="21"/>
              </w:rPr>
              <w:t>100%</w:t>
            </w:r>
          </w:p>
          <w:p>
            <w:pPr>
              <w:snapToGrid w:val="0"/>
              <w:rPr>
                <w:rFonts w:hint="eastAsia" w:eastAsia="宋体"/>
                <w:color w:val="auto"/>
                <w:szCs w:val="21"/>
                <w:lang w:eastAsia="zh-CN"/>
              </w:rPr>
            </w:pPr>
            <w:r>
              <w:rPr>
                <w:rFonts w:hint="eastAsia" w:ascii="宋体" w:hAnsi="宋体" w:cs="宋体"/>
                <w:color w:val="auto"/>
                <w:szCs w:val="21"/>
              </w:rPr>
              <w:t>2）</w:t>
            </w:r>
            <w:r>
              <w:rPr>
                <w:rFonts w:hint="eastAsia"/>
                <w:color w:val="auto"/>
                <w:szCs w:val="21"/>
              </w:rPr>
              <w:t>火灾事故为</w:t>
            </w:r>
            <w:r>
              <w:rPr>
                <w:rFonts w:hint="eastAsia"/>
                <w:color w:val="auto"/>
                <w:szCs w:val="21"/>
                <w:lang w:val="en-US" w:eastAsia="zh-CN"/>
              </w:rPr>
              <w:t>零</w:t>
            </w:r>
            <w:r>
              <w:rPr>
                <w:rFonts w:hint="eastAsia"/>
                <w:color w:val="auto"/>
                <w:szCs w:val="21"/>
              </w:rPr>
              <w:t xml:space="preserve">；                      </w:t>
            </w:r>
            <w:r>
              <w:rPr>
                <w:rFonts w:hint="eastAsia"/>
                <w:color w:val="auto"/>
                <w:szCs w:val="21"/>
                <w:lang w:val="en-US" w:eastAsia="zh-CN"/>
              </w:rPr>
              <w:t>实测：</w:t>
            </w:r>
            <w:r>
              <w:rPr>
                <w:rFonts w:hint="eastAsia"/>
                <w:color w:val="auto"/>
                <w:szCs w:val="21"/>
              </w:rPr>
              <w:t>未发生火灾事故</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2021年4-9月</w:t>
            </w:r>
            <w:r>
              <w:rPr>
                <w:rFonts w:hint="eastAsia" w:ascii="宋体" w:hAnsi="宋体" w:cs="宋体"/>
                <w:color w:val="auto"/>
                <w:szCs w:val="21"/>
              </w:rPr>
              <w:t>采购部目标完成情况、达到目标要求。</w:t>
            </w:r>
          </w:p>
          <w:p>
            <w:pPr>
              <w:widowControl/>
              <w:jc w:val="left"/>
              <w:rPr>
                <w:rFonts w:ascii="宋体" w:hAnsi="宋体"/>
                <w:color w:val="auto"/>
                <w:szCs w:val="21"/>
              </w:rPr>
            </w:pPr>
            <w:r>
              <w:rPr>
                <w:rFonts w:hint="eastAsia" w:ascii="宋体" w:hAnsi="宋体" w:cs="宋体"/>
                <w:color w:val="auto"/>
                <w:szCs w:val="21"/>
              </w:rPr>
              <w:t>查，公司编制了环境管理实施方案：制定、执行程序或作业文件；加强监测和测量；培训与教育；应急响应。</w:t>
            </w:r>
          </w:p>
        </w:tc>
        <w:tc>
          <w:tcPr>
            <w:tcW w:w="1202"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7.4 </w:t>
            </w:r>
          </w:p>
        </w:tc>
        <w:tc>
          <w:tcPr>
            <w:tcW w:w="10387" w:type="dxa"/>
          </w:tcPr>
          <w:p>
            <w:pPr>
              <w:pStyle w:val="6"/>
              <w:spacing w:line="400" w:lineRule="exact"/>
              <w:rPr>
                <w:color w:val="auto"/>
                <w:sz w:val="21"/>
                <w:szCs w:val="21"/>
                <w:highlight w:val="none"/>
              </w:rPr>
            </w:pPr>
            <w:r>
              <w:rPr>
                <w:rFonts w:hint="eastAsia"/>
                <w:color w:val="auto"/>
                <w:kern w:val="2"/>
                <w:sz w:val="21"/>
                <w:szCs w:val="21"/>
                <w:highlight w:val="none"/>
              </w:rPr>
              <w:t>--《</w:t>
            </w:r>
            <w:r>
              <w:rPr>
                <w:rFonts w:hint="eastAsia"/>
                <w:color w:val="auto"/>
                <w:sz w:val="21"/>
                <w:szCs w:val="21"/>
                <w:highlight w:val="none"/>
              </w:rPr>
              <w:t>信息交流沟通控制</w:t>
            </w:r>
            <w:r>
              <w:rPr>
                <w:rFonts w:hint="eastAsia"/>
                <w:color w:val="auto"/>
                <w:sz w:val="21"/>
                <w:szCs w:val="21"/>
                <w:highlight w:val="none"/>
                <w:lang w:val="en-US" w:eastAsia="zh-CN"/>
              </w:rPr>
              <w:t>规范</w:t>
            </w:r>
            <w:r>
              <w:rPr>
                <w:rFonts w:hint="eastAsia"/>
                <w:color w:val="auto"/>
                <w:kern w:val="2"/>
                <w:sz w:val="21"/>
                <w:szCs w:val="21"/>
                <w:highlight w:val="none"/>
              </w:rPr>
              <w:t>》</w:t>
            </w:r>
            <w:r>
              <w:rPr>
                <w:rFonts w:hint="eastAsia" w:cs="Arial"/>
                <w:color w:val="auto"/>
                <w:kern w:val="2"/>
                <w:sz w:val="21"/>
                <w:szCs w:val="21"/>
                <w:highlight w:val="none"/>
              </w:rPr>
              <w:t>规定了公司内外信息交流、协商的对象、方式、记录等。</w:t>
            </w:r>
          </w:p>
          <w:p>
            <w:pPr>
              <w:pStyle w:val="6"/>
              <w:spacing w:line="400" w:lineRule="exact"/>
              <w:rPr>
                <w:color w:val="auto"/>
                <w:kern w:val="2"/>
                <w:sz w:val="21"/>
                <w:szCs w:val="21"/>
                <w:highlight w:val="none"/>
              </w:rPr>
            </w:pPr>
            <w:r>
              <w:rPr>
                <w:rFonts w:hint="eastAsia"/>
                <w:color w:val="auto"/>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6"/>
              <w:spacing w:line="400" w:lineRule="exact"/>
              <w:ind w:firstLine="315" w:firstLineChars="150"/>
              <w:rPr>
                <w:color w:val="auto"/>
                <w:sz w:val="21"/>
                <w:szCs w:val="21"/>
                <w:highlight w:val="none"/>
              </w:rPr>
            </w:pPr>
            <w:r>
              <w:rPr>
                <w:rFonts w:hint="eastAsia"/>
                <w:color w:val="auto"/>
                <w:kern w:val="2"/>
                <w:sz w:val="21"/>
                <w:szCs w:val="21"/>
                <w:highlight w:val="none"/>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highlight w:val="none"/>
              </w:rPr>
            </w:pPr>
            <w:r>
              <w:rPr>
                <w:rFonts w:hint="eastAsia" w:ascii="宋体" w:hAnsi="宋体" w:cs="Arial"/>
                <w:color w:val="auto"/>
                <w:szCs w:val="21"/>
                <w:highlight w:val="none"/>
              </w:rPr>
              <w:t>外部交流主要通过采购合同及电话、信函等方式进行。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查见：与外部供方沟通信息：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1、与</w:t>
            </w:r>
            <w:r>
              <w:rPr>
                <w:rFonts w:hint="eastAsia" w:ascii="宋体" w:hAnsi="宋体" w:cs="宋体"/>
                <w:color w:val="auto"/>
                <w:szCs w:val="21"/>
                <w:highlight w:val="none"/>
                <w:lang w:val="en-US" w:eastAsia="zh-CN"/>
              </w:rPr>
              <w:t>洛阳亿腾办公家具有限公司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家具采</w:t>
            </w:r>
            <w:r>
              <w:rPr>
                <w:rFonts w:hint="eastAsia" w:ascii="宋体" w:hAnsi="宋体" w:cs="宋体"/>
                <w:color w:val="auto"/>
                <w:szCs w:val="21"/>
                <w:highlight w:val="none"/>
              </w:rPr>
              <w:t>购合同。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采购商品</w:t>
            </w:r>
            <w:r>
              <w:rPr>
                <w:rFonts w:hint="eastAsia" w:ascii="宋体" w:hAnsi="宋体" w:cs="宋体"/>
                <w:color w:val="auto"/>
                <w:szCs w:val="21"/>
                <w:highlight w:val="none"/>
              </w:rPr>
              <w:t>的技术标准及质量要求；物资的交货期限和方式；价格及支付；验收；违约责任等要求；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val="en-US" w:eastAsia="zh-CN"/>
              </w:rPr>
              <w:t>中山市华信家具实业有限公司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家具采购</w:t>
            </w:r>
            <w:r>
              <w:rPr>
                <w:rFonts w:hint="eastAsia" w:ascii="宋体" w:hAnsi="宋体" w:cs="宋体"/>
                <w:color w:val="auto"/>
                <w:szCs w:val="21"/>
                <w:highlight w:val="none"/>
              </w:rPr>
              <w:t>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采购商品</w:t>
            </w:r>
            <w:r>
              <w:rPr>
                <w:rFonts w:hint="eastAsia" w:ascii="宋体" w:hAnsi="宋体" w:cs="宋体"/>
                <w:color w:val="auto"/>
                <w:szCs w:val="21"/>
                <w:highlight w:val="none"/>
              </w:rPr>
              <w:t>的技术标准及质量要求；物资的交货期限和方式；价格及支付；验收；违约责任等要求；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重庆优卓家具有限公司</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日签定的</w:t>
            </w:r>
            <w:r>
              <w:rPr>
                <w:rFonts w:hint="eastAsia" w:ascii="宋体" w:hAnsi="宋体" w:cs="宋体"/>
                <w:color w:val="auto"/>
                <w:szCs w:val="21"/>
                <w:highlight w:val="none"/>
                <w:lang w:val="en-US" w:eastAsia="zh-CN"/>
              </w:rPr>
              <w:t>家具采购</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合同内容：</w:t>
            </w:r>
            <w:r>
              <w:rPr>
                <w:rFonts w:hint="eastAsia" w:ascii="宋体" w:hAnsi="宋体" w:cs="宋体"/>
                <w:color w:val="auto"/>
                <w:szCs w:val="21"/>
                <w:highlight w:val="none"/>
                <w:lang w:val="en-US" w:eastAsia="zh-CN"/>
              </w:rPr>
              <w:t>采购商品</w:t>
            </w:r>
            <w:r>
              <w:rPr>
                <w:rFonts w:hint="eastAsia" w:ascii="宋体" w:hAnsi="宋体" w:cs="宋体"/>
                <w:color w:val="auto"/>
                <w:szCs w:val="21"/>
                <w:highlight w:val="none"/>
              </w:rPr>
              <w:t>的技术标准及质量要求；物资的交货期限和方式；价格及支付；验收；违约责任等要求；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采购部在20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10日</w:t>
            </w:r>
            <w:r>
              <w:rPr>
                <w:rFonts w:hint="eastAsia" w:ascii="宋体" w:hAnsi="宋体" w:eastAsia="宋体" w:cs="宋体"/>
                <w:color w:val="auto"/>
                <w:szCs w:val="21"/>
                <w:highlight w:val="none"/>
              </w:rPr>
              <w:t>对合格供应商环境要求进行了确认，提供有（1）</w:t>
            </w:r>
            <w:r>
              <w:rPr>
                <w:rFonts w:hint="eastAsia" w:ascii="宋体" w:hAnsi="宋体" w:eastAsia="宋体" w:cs="宋体"/>
                <w:color w:val="auto"/>
                <w:szCs w:val="21"/>
                <w:highlight w:val="none"/>
                <w:lang w:val="en-US" w:eastAsia="zh-CN"/>
              </w:rPr>
              <w:t>重庆铭祖实业有限公司</w:t>
            </w:r>
            <w:r>
              <w:rPr>
                <w:rFonts w:hint="eastAsia" w:ascii="宋体" w:hAnsi="宋体" w:eastAsia="宋体" w:cs="宋体"/>
                <w:color w:val="auto"/>
                <w:szCs w:val="21"/>
                <w:highlight w:val="none"/>
              </w:rPr>
              <w:t>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6"/>
              <w:spacing w:line="400" w:lineRule="exact"/>
              <w:ind w:firstLine="210" w:firstLineChars="100"/>
              <w:rPr>
                <w:color w:val="auto"/>
                <w:sz w:val="21"/>
                <w:szCs w:val="21"/>
                <w:highlight w:val="none"/>
              </w:rPr>
            </w:pPr>
            <w:r>
              <w:rPr>
                <w:rFonts w:hint="eastAsia"/>
                <w:color w:val="auto"/>
                <w:kern w:val="2"/>
                <w:sz w:val="21"/>
                <w:szCs w:val="21"/>
                <w:highlight w:val="none"/>
              </w:rPr>
              <w:t>部门员工参与协商，员工提出参与环境知识的学习和培训，在日常服务例会中有通报公司近期环境工作及加强环境管理工作，员工做好自身和其他保护环境方面的工作要求。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color w:val="auto"/>
                <w:szCs w:val="21"/>
                <w:highlight w:val="none"/>
              </w:rPr>
            </w:pPr>
            <w:r>
              <w:rPr>
                <w:rFonts w:hint="eastAsia" w:ascii="宋体" w:hAnsi="宋体" w:cs="Arial"/>
                <w:color w:val="auto"/>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查见：公司内部会议记录表，沟通信息包括：</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1）告知员工：环境管理者代表是</w:t>
            </w:r>
            <w:r>
              <w:rPr>
                <w:rFonts w:hint="eastAsia" w:ascii="宋体" w:hAnsi="宋体" w:cs="Arial"/>
                <w:color w:val="auto"/>
                <w:szCs w:val="21"/>
                <w:highlight w:val="none"/>
                <w:lang w:eastAsia="zh-CN"/>
              </w:rPr>
              <w:t>罗琼</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highlight w:val="none"/>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color w:val="auto"/>
                <w:szCs w:val="21"/>
                <w:highlight w:val="none"/>
              </w:rPr>
            </w:pPr>
            <w:r>
              <w:rPr>
                <w:rFonts w:hint="eastAsia" w:ascii="宋体" w:hAnsi="宋体" w:cs="Arial"/>
                <w:color w:val="auto"/>
                <w:szCs w:val="21"/>
                <w:highlight w:val="none"/>
              </w:rPr>
              <w:t>3）将公司环境管理要求和意义作为新员工岗前培训内容。</w:t>
            </w:r>
          </w:p>
        </w:tc>
        <w:tc>
          <w:tcPr>
            <w:tcW w:w="1202" w:type="dxa"/>
          </w:tcPr>
          <w:p>
            <w:pPr>
              <w:rPr>
                <w:color w:val="auto"/>
                <w:highlight w:val="none"/>
              </w:rPr>
            </w:pPr>
            <w:r>
              <w:rPr>
                <w:rFonts w:hint="eastAsia"/>
                <w:color w:val="auto"/>
                <w:highlight w:val="none"/>
              </w:rPr>
              <w:t>符合</w:t>
            </w: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8.1 </w:t>
            </w:r>
          </w:p>
        </w:tc>
        <w:tc>
          <w:tcPr>
            <w:tcW w:w="10387" w:type="dxa"/>
          </w:tcPr>
          <w:p>
            <w:pPr>
              <w:rPr>
                <w:color w:val="auto"/>
              </w:rPr>
            </w:pPr>
            <w:r>
              <w:rPr>
                <w:rFonts w:hint="eastAsia"/>
                <w:color w:val="auto"/>
              </w:rPr>
              <w:t>查，采购部实施以下环境安全管理制度：《环境运行策划和控制规范》、《节约用电用水管理制度》、《固体废弃物管理制度》《消防安全管理制度》、《用电安全管理规定》等。</w:t>
            </w:r>
          </w:p>
          <w:p>
            <w:pPr>
              <w:rPr>
                <w:color w:val="auto"/>
              </w:rPr>
            </w:pPr>
            <w:r>
              <w:rPr>
                <w:rFonts w:hint="eastAsia"/>
                <w:color w:val="auto"/>
              </w:rPr>
              <w:t>查重要环境因素：</w:t>
            </w:r>
          </w:p>
          <w:p>
            <w:pPr>
              <w:numPr>
                <w:ilvl w:val="0"/>
                <w:numId w:val="5"/>
              </w:numPr>
              <w:ind w:firstLine="0"/>
              <w:rPr>
                <w:color w:val="auto"/>
              </w:rPr>
            </w:pPr>
            <w:r>
              <w:rPr>
                <w:rFonts w:hint="eastAsia"/>
                <w:color w:val="auto"/>
              </w:rPr>
              <w:t>潜在火灾；</w:t>
            </w:r>
          </w:p>
          <w:p>
            <w:pPr>
              <w:numPr>
                <w:ilvl w:val="0"/>
                <w:numId w:val="5"/>
              </w:numPr>
              <w:ind w:firstLine="0"/>
              <w:rPr>
                <w:color w:val="auto"/>
              </w:rPr>
            </w:pPr>
            <w:r>
              <w:rPr>
                <w:rFonts w:hint="eastAsia"/>
                <w:color w:val="auto"/>
              </w:rPr>
              <w:t>固废排放；</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w:t>
            </w:r>
            <w:r>
              <w:rPr>
                <w:rFonts w:hint="eastAsia" w:ascii="Times New Roman" w:hAnsi="Times New Roman" w:eastAsia="宋体" w:cs="Times New Roman"/>
                <w:szCs w:val="21"/>
                <w:lang w:val="en-US" w:eastAsia="zh-CN"/>
              </w:rPr>
              <w:t>采购</w:t>
            </w:r>
            <w:r>
              <w:rPr>
                <w:rFonts w:hint="eastAsia" w:ascii="Times New Roman" w:hAnsi="Times New Roman" w:eastAsia="宋体" w:cs="Times New Roman"/>
                <w:szCs w:val="21"/>
                <w:lang w:eastAsia="zh-CN"/>
              </w:rPr>
              <w:t>部办公区域环境</w:t>
            </w:r>
            <w:r>
              <w:rPr>
                <w:rFonts w:hint="eastAsia" w:ascii="Times New Roman" w:hAnsi="Times New Roman" w:eastAsia="宋体" w:cs="Times New Roman"/>
                <w:szCs w:val="21"/>
                <w:lang w:val="en-GB" w:eastAsia="zh-CN"/>
              </w:rPr>
              <w:t>运行控制情况：</w:t>
            </w:r>
            <w:r>
              <w:rPr>
                <w:rFonts w:hint="eastAsia" w:ascii="Times New Roman" w:hAnsi="Times New Roman" w:eastAsia="宋体" w:cs="Times New Roman"/>
                <w:szCs w:val="21"/>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lang w:val="en-US" w:eastAsia="zh-CN"/>
              </w:rPr>
              <w:t>；</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查看：现场未发现大功率电器使用；现场电线有穿管保护，固定布局、现场有禁止吸烟的提醒，办公设备均有接地保护。</w:t>
            </w:r>
          </w:p>
          <w:p>
            <w:pPr>
              <w:rPr>
                <w:rFonts w:hint="default" w:eastAsia="宋体"/>
                <w:color w:val="auto"/>
                <w:lang w:val="en-US" w:eastAsia="zh-CN"/>
              </w:rPr>
            </w:pPr>
            <w:r>
              <w:rPr>
                <w:rFonts w:hint="eastAsia" w:ascii="Times New Roman" w:hAnsi="Times New Roman" w:eastAsia="宋体" w:cs="Times New Roman"/>
                <w:szCs w:val="21"/>
                <w:lang w:eastAsia="zh-CN"/>
              </w:rPr>
              <w:t>查见办公区有一般固废分装桶，现场</w:t>
            </w:r>
            <w:r>
              <w:rPr>
                <w:rFonts w:hint="eastAsia" w:ascii="Times New Roman" w:hAnsi="Times New Roman" w:eastAsia="宋体" w:cs="Times New Roman"/>
                <w:szCs w:val="21"/>
                <w:lang w:val="en-US" w:eastAsia="zh-CN"/>
              </w:rPr>
              <w:t>查看无垃圾混装现象</w:t>
            </w:r>
            <w:r>
              <w:rPr>
                <w:rFonts w:hint="eastAsia" w:ascii="Times New Roman" w:hAnsi="Times New Roman" w:eastAsia="宋体" w:cs="Times New Roman"/>
                <w:szCs w:val="21"/>
                <w:lang w:eastAsia="zh-CN"/>
              </w:rPr>
              <w:t>。</w:t>
            </w:r>
          </w:p>
        </w:tc>
        <w:tc>
          <w:tcPr>
            <w:tcW w:w="1202"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8.2</w:t>
            </w:r>
          </w:p>
        </w:tc>
        <w:tc>
          <w:tcPr>
            <w:tcW w:w="10387" w:type="dxa"/>
          </w:tcPr>
          <w:p>
            <w:pPr>
              <w:spacing w:line="400" w:lineRule="atLeast"/>
              <w:ind w:firstLine="420" w:firstLineChars="200"/>
              <w:rPr>
                <w:color w:val="auto"/>
                <w:szCs w:val="21"/>
              </w:rPr>
            </w:pPr>
            <w:r>
              <w:rPr>
                <w:rFonts w:hint="eastAsia" w:cs="宋体"/>
                <w:color w:val="auto"/>
                <w:szCs w:val="21"/>
              </w:rPr>
              <w:t>查见：《</w:t>
            </w:r>
            <w:r>
              <w:rPr>
                <w:rFonts w:hint="eastAsia" w:ascii="宋体" w:hAnsi="宋体" w:cs="宋体"/>
                <w:color w:val="auto"/>
                <w:szCs w:val="21"/>
                <w:lang w:eastAsia="zh-CN"/>
              </w:rPr>
              <w:t>应急准备与响应控制规范</w:t>
            </w:r>
            <w:r>
              <w:rPr>
                <w:rFonts w:hint="eastAsia" w:cs="宋体"/>
                <w:color w:val="auto"/>
                <w:szCs w:val="21"/>
              </w:rPr>
              <w:t>》、《</w:t>
            </w:r>
            <w:r>
              <w:rPr>
                <w:rFonts w:hint="eastAsia" w:ascii="宋体" w:hAnsi="宋体" w:cs="宋体"/>
                <w:color w:val="auto"/>
                <w:szCs w:val="21"/>
              </w:rPr>
              <w:t>消防应急预案</w:t>
            </w:r>
            <w:r>
              <w:rPr>
                <w:rFonts w:hint="eastAsia" w:cs="宋体"/>
                <w:color w:val="auto"/>
                <w:szCs w:val="21"/>
              </w:rPr>
              <w:t>》等。</w:t>
            </w:r>
          </w:p>
          <w:p>
            <w:pPr>
              <w:spacing w:line="360" w:lineRule="auto"/>
              <w:jc w:val="left"/>
              <w:rPr>
                <w:rFonts w:ascii="宋体" w:hAnsi="宋体" w:cs="宋体"/>
                <w:color w:val="auto"/>
                <w:szCs w:val="21"/>
              </w:rPr>
            </w:pPr>
            <w:r>
              <w:rPr>
                <w:rFonts w:hint="eastAsia" w:cs="宋体"/>
                <w:color w:val="auto"/>
                <w:szCs w:val="21"/>
              </w:rPr>
              <w:t>查见：消防演练实况记</w:t>
            </w:r>
            <w:r>
              <w:rPr>
                <w:rFonts w:hint="eastAsia" w:ascii="宋体" w:hAnsi="宋体" w:eastAsia="宋体" w:cs="宋体"/>
                <w:color w:val="auto"/>
                <w:szCs w:val="21"/>
              </w:rPr>
              <w:t>录：采购部相关人员参加了</w:t>
            </w:r>
            <w:r>
              <w:rPr>
                <w:rFonts w:hint="eastAsia" w:ascii="宋体" w:cs="宋体"/>
                <w:color w:val="auto"/>
                <w:sz w:val="21"/>
                <w:szCs w:val="21"/>
                <w:lang w:val="en-US" w:eastAsia="zh-CN" w:bidi="ar"/>
              </w:rPr>
              <w:t>2022年3月8日</w:t>
            </w:r>
            <w:r>
              <w:rPr>
                <w:rFonts w:hint="eastAsia" w:ascii="宋体" w:hAnsi="宋体" w:eastAsia="宋体" w:cs="宋体"/>
                <w:color w:val="auto"/>
                <w:szCs w:val="21"/>
              </w:rPr>
              <w:t>在公司由</w:t>
            </w:r>
            <w:r>
              <w:rPr>
                <w:rFonts w:hint="eastAsia" w:ascii="宋体" w:hAnsi="宋体" w:eastAsia="宋体" w:cs="宋体"/>
                <w:color w:val="auto"/>
                <w:szCs w:val="21"/>
                <w:lang w:eastAsia="zh-CN"/>
              </w:rPr>
              <w:t>行政部</w:t>
            </w:r>
            <w:r>
              <w:rPr>
                <w:rFonts w:hint="eastAsia" w:ascii="宋体" w:hAnsi="宋体" w:cs="宋体"/>
                <w:color w:val="auto"/>
                <w:szCs w:val="21"/>
              </w:rPr>
              <w:t>组织的火灾消防演练。</w:t>
            </w:r>
          </w:p>
          <w:p>
            <w:pPr>
              <w:spacing w:line="360" w:lineRule="auto"/>
              <w:ind w:firstLine="420" w:firstLineChars="200"/>
              <w:rPr>
                <w:rFonts w:hint="eastAsia" w:ascii="宋体" w:cs="宋体"/>
                <w:color w:val="auto"/>
                <w:szCs w:val="21"/>
              </w:rPr>
            </w:pPr>
            <w:r>
              <w:rPr>
                <w:rFonts w:hint="eastAsia" w:ascii="宋体" w:cs="宋体"/>
                <w:color w:val="auto"/>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color w:val="auto"/>
                <w:szCs w:val="21"/>
              </w:rPr>
            </w:pPr>
            <w:r>
              <w:rPr>
                <w:rFonts w:hint="default" w:ascii="宋体"/>
                <w:color w:val="auto"/>
                <w:kern w:val="0"/>
                <w:szCs w:val="21"/>
              </w:rPr>
              <w:t>查应急准备：</w:t>
            </w:r>
            <w:r>
              <w:rPr>
                <w:rFonts w:hint="eastAsia" w:ascii="宋体"/>
                <w:color w:val="auto"/>
                <w:kern w:val="0"/>
                <w:szCs w:val="21"/>
              </w:rPr>
              <w:t>配置有灭火器</w:t>
            </w:r>
            <w:r>
              <w:rPr>
                <w:rFonts w:hint="eastAsia" w:ascii="宋体"/>
                <w:color w:val="auto"/>
                <w:kern w:val="0"/>
                <w:szCs w:val="21"/>
                <w:lang w:eastAsia="zh-CN"/>
              </w:rPr>
              <w:t>，</w:t>
            </w:r>
            <w:r>
              <w:rPr>
                <w:rFonts w:hint="eastAsia" w:ascii="宋体"/>
                <w:color w:val="auto"/>
                <w:kern w:val="0"/>
                <w:szCs w:val="21"/>
                <w:lang w:val="en-US" w:eastAsia="zh-CN"/>
              </w:rPr>
              <w:t>性能完好</w:t>
            </w:r>
            <w:r>
              <w:rPr>
                <w:rFonts w:hint="eastAsia" w:ascii="宋体" w:cs="宋体"/>
                <w:color w:val="auto"/>
                <w:szCs w:val="21"/>
              </w:rPr>
              <w:t>。</w:t>
            </w:r>
          </w:p>
        </w:tc>
        <w:tc>
          <w:tcPr>
            <w:tcW w:w="1202" w:type="dxa"/>
          </w:tcPr>
          <w:p>
            <w:pPr>
              <w:rPr>
                <w:rFonts w:hint="eastAsia" w:eastAsia="宋体"/>
                <w:color w:val="auto"/>
                <w:lang w:val="en-US" w:eastAsia="zh-CN"/>
              </w:rPr>
            </w:pPr>
            <w:r>
              <w:rPr>
                <w:rFonts w:hint="eastAsia"/>
                <w:color w:val="auto"/>
                <w:lang w:val="en-US" w:eastAsia="zh-CN"/>
              </w:rPr>
              <w:t>符合</w:t>
            </w:r>
          </w:p>
        </w:tc>
      </w:tr>
    </w:tbl>
    <w:p>
      <w:pPr>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6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62"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销售部    </w:t>
            </w:r>
            <w:r>
              <w:rPr>
                <w:rFonts w:hint="eastAsia"/>
                <w:color w:val="auto"/>
                <w:sz w:val="24"/>
                <w:szCs w:val="24"/>
              </w:rPr>
              <w:t>主管领导：</w:t>
            </w:r>
            <w:r>
              <w:rPr>
                <w:rFonts w:hint="eastAsia"/>
                <w:color w:val="auto"/>
                <w:sz w:val="24"/>
                <w:lang w:val="en-US" w:eastAsia="zh-CN"/>
              </w:rPr>
              <w:t>杨松，</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val="en-US" w:eastAsia="zh-CN"/>
              </w:rPr>
              <w:t>罗琼</w:t>
            </w:r>
          </w:p>
        </w:tc>
        <w:tc>
          <w:tcPr>
            <w:tcW w:w="1227"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62"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杨珍全 ，       </w:t>
            </w:r>
            <w:r>
              <w:rPr>
                <w:rFonts w:hint="eastAsia"/>
                <w:color w:val="auto"/>
                <w:sz w:val="24"/>
                <w:szCs w:val="24"/>
              </w:rPr>
              <w:t>审核时间：</w:t>
            </w:r>
            <w:r>
              <w:rPr>
                <w:rFonts w:hint="eastAsia"/>
                <w:color w:val="auto"/>
                <w:sz w:val="24"/>
                <w:szCs w:val="24"/>
                <w:lang w:val="en-US" w:eastAsia="zh-CN"/>
              </w:rPr>
              <w:t>2022年9月16日下午</w:t>
            </w:r>
          </w:p>
        </w:tc>
        <w:tc>
          <w:tcPr>
            <w:tcW w:w="12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62" w:type="dxa"/>
            <w:vAlign w:val="center"/>
          </w:tcPr>
          <w:p>
            <w:pPr>
              <w:rPr>
                <w:rFonts w:hint="default" w:eastAsia="宋体"/>
                <w:color w:val="auto"/>
                <w:sz w:val="24"/>
                <w:szCs w:val="24"/>
                <w:lang w:val="en-US" w:eastAsia="zh-CN"/>
              </w:rPr>
            </w:pPr>
            <w:r>
              <w:rPr>
                <w:rFonts w:hint="eastAsia"/>
                <w:color w:val="auto"/>
                <w:sz w:val="24"/>
                <w:szCs w:val="24"/>
              </w:rPr>
              <w:t>审核条款：</w:t>
            </w:r>
            <w:r>
              <w:rPr>
                <w:rFonts w:hint="eastAsia" w:ascii="宋体" w:hAnsi="宋体" w:cs="Times New Roman"/>
                <w:sz w:val="18"/>
                <w:szCs w:val="18"/>
                <w:highlight w:val="none"/>
              </w:rPr>
              <w:t>5.3组织的角色、职责和权限、6.1.2环境因素；6.2目标及其达成的策划；7.4沟通；8.1运行策划和控制；8.2应急准备和响应</w:t>
            </w:r>
          </w:p>
        </w:tc>
        <w:tc>
          <w:tcPr>
            <w:tcW w:w="1227"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新宋体"/>
                <w:color w:val="auto"/>
                <w:szCs w:val="21"/>
              </w:rPr>
              <w:t xml:space="preserve">5.3； </w:t>
            </w:r>
          </w:p>
        </w:tc>
        <w:tc>
          <w:tcPr>
            <w:tcW w:w="10362"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查，销售部的岗位职责和权限如下：</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 xml:space="preserve">3）负责销售过程中产品的交付管理，以预防其环境紧急或潜在事故的发生；  </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4）负责宣传、影响主要顾客的环境行为。</w:t>
            </w:r>
          </w:p>
          <w:p>
            <w:pPr>
              <w:spacing w:line="400" w:lineRule="exact"/>
              <w:ind w:firstLine="630" w:firstLineChars="300"/>
              <w:rPr>
                <w:rFonts w:ascii="宋体" w:hAnsi="宋体"/>
                <w:color w:val="auto"/>
                <w:szCs w:val="21"/>
              </w:rPr>
            </w:pP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部门职责清晰、明确。</w:t>
            </w:r>
          </w:p>
          <w:p>
            <w:pPr>
              <w:spacing w:line="400" w:lineRule="exact"/>
              <w:rPr>
                <w:rFonts w:ascii="宋体" w:hAnsi="宋体" w:cs="宋体"/>
                <w:color w:val="auto"/>
                <w:szCs w:val="21"/>
              </w:rPr>
            </w:pPr>
            <w:r>
              <w:rPr>
                <w:rFonts w:hint="eastAsia" w:ascii="宋体" w:hAnsi="宋体"/>
                <w:color w:val="auto"/>
                <w:szCs w:val="21"/>
              </w:rPr>
              <w:t xml:space="preserve">销售部部负责人能基本阐述本部门的主要职责。 </w:t>
            </w:r>
          </w:p>
        </w:tc>
        <w:tc>
          <w:tcPr>
            <w:tcW w:w="1227"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6.1.2</w:t>
            </w:r>
          </w:p>
        </w:tc>
        <w:tc>
          <w:tcPr>
            <w:tcW w:w="10362"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Cs w:val="21"/>
              </w:rPr>
              <w:t>《</w:t>
            </w:r>
            <w:r>
              <w:rPr>
                <w:rFonts w:hint="eastAsia" w:ascii="宋体"/>
                <w:color w:val="auto"/>
                <w:szCs w:val="21"/>
                <w:lang w:val="zh-CN"/>
              </w:rPr>
              <w:t>环境因素识别评价控制</w:t>
            </w:r>
            <w:r>
              <w:rPr>
                <w:rFonts w:hint="eastAsia" w:ascii="宋体"/>
                <w:color w:val="auto"/>
                <w:szCs w:val="21"/>
                <w:lang w:val="en-US" w:eastAsia="zh-CN"/>
              </w:rPr>
              <w:t>规范</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eastAsia="宋体"/>
                <w:lang w:eastAsia="zh-CN"/>
              </w:rPr>
            </w:pPr>
            <w:r>
              <w:rPr>
                <w:rFonts w:hint="eastAsia"/>
              </w:rPr>
              <w:t>现场查看，部门的主要产生的废弃物为销售过程中办公废弃物、包装箱、包装袋等固废</w:t>
            </w:r>
            <w:r>
              <w:rPr>
                <w:rFonts w:hint="eastAsia"/>
                <w:lang w:eastAsia="zh-CN"/>
              </w:rPr>
              <w:t>。</w:t>
            </w:r>
          </w:p>
          <w:p>
            <w:pPr>
              <w:autoSpaceDE w:val="0"/>
              <w:autoSpaceDN w:val="0"/>
              <w:adjustRightInd w:val="0"/>
              <w:spacing w:line="400" w:lineRule="exact"/>
              <w:ind w:firstLine="422" w:firstLineChars="200"/>
              <w:jc w:val="left"/>
              <w:rPr>
                <w:rFonts w:ascii="宋体" w:hAnsi="宋体"/>
                <w:color w:val="auto"/>
                <w:szCs w:val="21"/>
              </w:rPr>
            </w:pPr>
            <w:r>
              <w:rPr>
                <w:rFonts w:hint="default"/>
                <w:b/>
                <w:bCs w:val="0"/>
                <w:lang w:val="en-US" w:eastAsia="zh-CN"/>
              </w:rPr>
              <w:t>查看销售过程有产品交付，查《</w:t>
            </w:r>
            <w:r>
              <w:rPr>
                <w:rFonts w:hint="eastAsia"/>
                <w:b/>
                <w:bCs w:val="0"/>
                <w:lang w:val="en-US" w:eastAsia="zh-CN"/>
              </w:rPr>
              <w:t>销售</w:t>
            </w:r>
            <w:r>
              <w:rPr>
                <w:rFonts w:hint="default"/>
                <w:b/>
                <w:bCs w:val="0"/>
                <w:lang w:val="en-US" w:eastAsia="zh-CN"/>
              </w:rPr>
              <w:t>部环境因素识别与评价表》，未对产品交付过程的环境影响进行识别与评价。不符合GB/T 24001-2016标准6.1.2 条款：“确定环境因素时，组织必须考虑：a） 变更，包括已纳入计划的或新的开发，以及新的或修改的活动、产品和服务”的要求。</w:t>
            </w:r>
          </w:p>
        </w:tc>
        <w:tc>
          <w:tcPr>
            <w:tcW w:w="1227" w:type="dxa"/>
          </w:tcPr>
          <w:p>
            <w:pPr>
              <w:rPr>
                <w:color w:val="auto"/>
              </w:rPr>
            </w:pPr>
          </w:p>
          <w:p>
            <w:pPr>
              <w:pStyle w:val="2"/>
              <w:rPr>
                <w:color w:val="auto"/>
              </w:rPr>
            </w:pPr>
          </w:p>
          <w:p>
            <w:pPr>
              <w:pStyle w:val="2"/>
              <w:rPr>
                <w:color w:val="auto"/>
              </w:rPr>
            </w:pPr>
          </w:p>
          <w:p>
            <w:pPr>
              <w:pStyle w:val="2"/>
              <w:rPr>
                <w:color w:val="auto"/>
              </w:rPr>
            </w:pPr>
          </w:p>
          <w:p>
            <w:pPr>
              <w:pStyle w:val="2"/>
              <w:rPr>
                <w:rFonts w:hint="eastAsia" w:eastAsia="宋体"/>
                <w:color w:val="auto"/>
                <w:lang w:val="en-US" w:eastAsia="zh-CN"/>
              </w:rPr>
            </w:pPr>
            <w:r>
              <w:rPr>
                <w:rFonts w:hint="eastAsia"/>
                <w:color w:val="auto"/>
                <w:lang w:val="en-US" w:eastAsia="zh-CN"/>
              </w:rPr>
              <w:t>N</w:t>
            </w:r>
          </w:p>
          <w:p>
            <w:pPr>
              <w:pStyle w:val="2"/>
              <w:rPr>
                <w:color w:val="auto"/>
              </w:rPr>
            </w:pP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160" w:type="dxa"/>
            <w:vAlign w:val="top"/>
          </w:tcPr>
          <w:p>
            <w:pPr>
              <w:jc w:val="both"/>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6.2</w:t>
            </w:r>
          </w:p>
        </w:tc>
        <w:tc>
          <w:tcPr>
            <w:tcW w:w="10362" w:type="dxa"/>
          </w:tcPr>
          <w:p>
            <w:pPr>
              <w:spacing w:line="400" w:lineRule="atLeast"/>
              <w:ind w:right="170"/>
              <w:jc w:val="left"/>
              <w:rPr>
                <w:rFonts w:ascii="宋体" w:hAnsi="宋体" w:cs="Arial"/>
                <w:iCs/>
                <w:color w:val="auto"/>
                <w:szCs w:val="21"/>
              </w:rPr>
            </w:pPr>
            <w:r>
              <w:rPr>
                <w:rFonts w:hint="eastAsia" w:ascii="宋体" w:hAnsi="宋体" w:cs="Arial"/>
                <w:iCs/>
                <w:color w:val="auto"/>
                <w:szCs w:val="21"/>
              </w:rPr>
              <w:t>查销售部的环境安全目标为：</w:t>
            </w:r>
          </w:p>
          <w:p>
            <w:pPr>
              <w:tabs>
                <w:tab w:val="center" w:pos="4894"/>
              </w:tabs>
              <w:spacing w:line="400" w:lineRule="atLeast"/>
              <w:ind w:right="170"/>
              <w:jc w:val="left"/>
              <w:rPr>
                <w:rFonts w:ascii="宋体" w:hAnsi="宋体" w:cs="Arial"/>
                <w:iCs/>
                <w:color w:val="auto"/>
                <w:szCs w:val="21"/>
              </w:rPr>
            </w:pPr>
            <w:r>
              <w:rPr>
                <w:rFonts w:hint="eastAsia" w:ascii="宋体" w:hAnsi="宋体" w:cs="Arial"/>
                <w:iCs/>
                <w:color w:val="auto"/>
                <w:szCs w:val="21"/>
              </w:rPr>
              <w:t>环境目标</w:t>
            </w:r>
            <w:r>
              <w:rPr>
                <w:rFonts w:hint="eastAsia" w:ascii="宋体" w:hAnsi="宋体" w:cs="Arial"/>
                <w:iCs/>
                <w:color w:val="auto"/>
                <w:szCs w:val="21"/>
              </w:rPr>
              <w:tab/>
            </w:r>
            <w:r>
              <w:rPr>
                <w:rFonts w:hint="eastAsia" w:ascii="宋体" w:hAnsi="宋体"/>
                <w:color w:val="auto"/>
                <w:szCs w:val="21"/>
              </w:rPr>
              <w:t>考核情况（</w:t>
            </w:r>
            <w:r>
              <w:rPr>
                <w:rFonts w:hint="eastAsia" w:ascii="宋体" w:hAnsi="宋体"/>
                <w:color w:val="auto"/>
                <w:szCs w:val="21"/>
                <w:lang w:eastAsia="zh-CN"/>
              </w:rPr>
              <w:t>2021年</w:t>
            </w:r>
            <w:r>
              <w:rPr>
                <w:rFonts w:hint="eastAsia" w:ascii="宋体" w:hAnsi="宋体"/>
                <w:color w:val="auto"/>
                <w:szCs w:val="21"/>
                <w:lang w:val="en-US" w:eastAsia="zh-CN"/>
              </w:rPr>
              <w:t>12</w:t>
            </w:r>
            <w:r>
              <w:rPr>
                <w:rFonts w:hint="eastAsia" w:ascii="宋体" w:hAnsi="宋体"/>
                <w:color w:val="auto"/>
                <w:szCs w:val="21"/>
                <w:lang w:eastAsia="zh-CN"/>
              </w:rPr>
              <w:t>-</w:t>
            </w:r>
            <w:r>
              <w:rPr>
                <w:rFonts w:hint="eastAsia" w:ascii="宋体" w:hAnsi="宋体"/>
                <w:color w:val="auto"/>
                <w:szCs w:val="21"/>
                <w:lang w:val="en-US" w:eastAsia="zh-CN"/>
              </w:rPr>
              <w:t>2022年8</w:t>
            </w:r>
            <w:r>
              <w:rPr>
                <w:rFonts w:hint="eastAsia" w:ascii="宋体" w:hAnsi="宋体"/>
                <w:color w:val="auto"/>
                <w:szCs w:val="21"/>
                <w:lang w:eastAsia="zh-CN"/>
              </w:rPr>
              <w:t>月</w:t>
            </w:r>
            <w:r>
              <w:rPr>
                <w:rFonts w:hint="eastAsia" w:ascii="宋体" w:hAnsi="宋体"/>
                <w:color w:val="auto"/>
                <w:szCs w:val="21"/>
              </w:rPr>
              <w:t>）</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1）</w:t>
            </w:r>
            <w:r>
              <w:rPr>
                <w:rFonts w:hint="eastAsia"/>
                <w:color w:val="auto"/>
                <w:szCs w:val="21"/>
                <w:lang w:eastAsia="zh-CN"/>
              </w:rPr>
              <w:t>危险废废弃物100%回收管理</w:t>
            </w:r>
            <w:r>
              <w:rPr>
                <w:rFonts w:hint="eastAsia"/>
                <w:color w:val="auto"/>
                <w:szCs w:val="21"/>
              </w:rPr>
              <w:t xml:space="preserve">；              </w:t>
            </w:r>
            <w:r>
              <w:rPr>
                <w:rFonts w:hint="eastAsia"/>
                <w:color w:val="auto"/>
                <w:szCs w:val="21"/>
                <w:lang w:val="en-US" w:eastAsia="zh-CN"/>
              </w:rPr>
              <w:t>实测：合规回收处置率达到</w:t>
            </w:r>
            <w:r>
              <w:rPr>
                <w:rFonts w:hint="eastAsia"/>
                <w:color w:val="auto"/>
                <w:szCs w:val="21"/>
              </w:rPr>
              <w:t>100%</w:t>
            </w:r>
          </w:p>
          <w:p>
            <w:pPr>
              <w:snapToGrid w:val="0"/>
              <w:rPr>
                <w:color w:val="auto"/>
                <w:szCs w:val="21"/>
              </w:rPr>
            </w:pPr>
            <w:r>
              <w:rPr>
                <w:rFonts w:hint="eastAsia" w:ascii="宋体" w:hAnsi="宋体" w:cs="宋体"/>
                <w:color w:val="auto"/>
                <w:szCs w:val="21"/>
              </w:rPr>
              <w:t>2）</w:t>
            </w:r>
            <w:r>
              <w:rPr>
                <w:rFonts w:hint="eastAsia"/>
                <w:color w:val="auto"/>
                <w:szCs w:val="21"/>
              </w:rPr>
              <w:t>火灾事故为</w:t>
            </w:r>
            <w:r>
              <w:rPr>
                <w:rFonts w:hint="eastAsia"/>
                <w:color w:val="auto"/>
                <w:szCs w:val="21"/>
                <w:lang w:val="en-US" w:eastAsia="zh-CN"/>
              </w:rPr>
              <w:t>零</w:t>
            </w:r>
            <w:r>
              <w:rPr>
                <w:rFonts w:hint="eastAsia"/>
                <w:color w:val="auto"/>
                <w:szCs w:val="21"/>
              </w:rPr>
              <w:t xml:space="preserve">；                          </w:t>
            </w:r>
            <w:r>
              <w:rPr>
                <w:rFonts w:hint="eastAsia"/>
                <w:color w:val="auto"/>
                <w:szCs w:val="21"/>
                <w:lang w:val="en-US" w:eastAsia="zh-CN"/>
              </w:rPr>
              <w:t xml:space="preserve"> 实测：</w:t>
            </w:r>
            <w:r>
              <w:rPr>
                <w:rFonts w:hint="eastAsia"/>
                <w:color w:val="auto"/>
                <w:szCs w:val="21"/>
              </w:rPr>
              <w:t>未发生火灾事故</w:t>
            </w:r>
          </w:p>
          <w:p>
            <w:pPr>
              <w:spacing w:line="400" w:lineRule="atLeast"/>
              <w:ind w:right="-107" w:rightChars="-51"/>
              <w:jc w:val="left"/>
              <w:rPr>
                <w:rFonts w:ascii="宋体" w:hAnsi="宋体" w:cs="宋体"/>
                <w:color w:val="auto"/>
                <w:szCs w:val="21"/>
              </w:rPr>
            </w:pPr>
            <w:r>
              <w:rPr>
                <w:rFonts w:hint="eastAsia" w:ascii="宋体" w:hAnsi="宋体" w:cs="宋体"/>
                <w:color w:val="auto"/>
                <w:szCs w:val="21"/>
              </w:rPr>
              <w:t>查</w:t>
            </w:r>
            <w:r>
              <w:rPr>
                <w:rFonts w:hint="eastAsia" w:ascii="宋体" w:hAnsi="宋体"/>
                <w:color w:val="auto"/>
                <w:szCs w:val="21"/>
                <w:lang w:eastAsia="zh-CN"/>
              </w:rPr>
              <w:t>2021年</w:t>
            </w:r>
            <w:r>
              <w:rPr>
                <w:rFonts w:hint="eastAsia" w:ascii="宋体" w:hAnsi="宋体"/>
                <w:color w:val="auto"/>
                <w:szCs w:val="21"/>
                <w:lang w:val="en-US" w:eastAsia="zh-CN"/>
              </w:rPr>
              <w:t>12</w:t>
            </w:r>
            <w:r>
              <w:rPr>
                <w:rFonts w:hint="eastAsia" w:ascii="宋体" w:hAnsi="宋体"/>
                <w:color w:val="auto"/>
                <w:szCs w:val="21"/>
                <w:lang w:eastAsia="zh-CN"/>
              </w:rPr>
              <w:t>-</w:t>
            </w:r>
            <w:r>
              <w:rPr>
                <w:rFonts w:hint="eastAsia" w:ascii="宋体" w:hAnsi="宋体"/>
                <w:color w:val="auto"/>
                <w:szCs w:val="21"/>
                <w:lang w:val="en-US" w:eastAsia="zh-CN"/>
              </w:rPr>
              <w:t>2022年8</w:t>
            </w:r>
            <w:r>
              <w:rPr>
                <w:rFonts w:hint="eastAsia" w:ascii="宋体" w:hAnsi="宋体"/>
                <w:color w:val="auto"/>
                <w:szCs w:val="21"/>
                <w:lang w:eastAsia="zh-CN"/>
              </w:rPr>
              <w:t>月</w:t>
            </w:r>
            <w:r>
              <w:rPr>
                <w:rFonts w:hint="eastAsia" w:ascii="宋体" w:hAnsi="宋体" w:cs="宋体"/>
                <w:color w:val="auto"/>
                <w:szCs w:val="21"/>
              </w:rPr>
              <w:t>销售部目标完成情况、达到目标要求。</w:t>
            </w:r>
          </w:p>
          <w:p>
            <w:pPr>
              <w:widowControl/>
              <w:jc w:val="left"/>
              <w:rPr>
                <w:rFonts w:ascii="宋体" w:hAnsi="宋体"/>
                <w:color w:val="auto"/>
                <w:szCs w:val="21"/>
              </w:rPr>
            </w:pPr>
            <w:r>
              <w:rPr>
                <w:rFonts w:hint="eastAsia" w:ascii="宋体" w:hAnsi="宋体" w:cs="宋体"/>
                <w:color w:val="auto"/>
                <w:szCs w:val="21"/>
              </w:rPr>
              <w:t>查，公司编制了环境管理实施方案：制定、执行程序或作业文件；加强监测和测量；培训与教育；应急响应。</w:t>
            </w:r>
          </w:p>
        </w:tc>
        <w:tc>
          <w:tcPr>
            <w:tcW w:w="1227"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沟通 </w:t>
            </w:r>
          </w:p>
        </w:tc>
        <w:tc>
          <w:tcPr>
            <w:tcW w:w="960" w:type="dxa"/>
          </w:tcPr>
          <w:p>
            <w:pPr>
              <w:rPr>
                <w:rFonts w:ascii="宋体" w:hAnsi="宋体" w:cs="新宋体"/>
                <w:color w:val="auto"/>
                <w:szCs w:val="21"/>
              </w:rPr>
            </w:pPr>
            <w:r>
              <w:rPr>
                <w:rFonts w:hint="eastAsia" w:ascii="宋体" w:hAnsi="宋体" w:cs="新宋体"/>
                <w:color w:val="auto"/>
                <w:szCs w:val="21"/>
              </w:rPr>
              <w:t>7.4 </w:t>
            </w:r>
          </w:p>
        </w:tc>
        <w:tc>
          <w:tcPr>
            <w:tcW w:w="10362" w:type="dxa"/>
          </w:tcPr>
          <w:p>
            <w:pPr>
              <w:pStyle w:val="6"/>
              <w:spacing w:line="400" w:lineRule="exact"/>
              <w:rPr>
                <w:color w:val="auto"/>
                <w:sz w:val="21"/>
                <w:szCs w:val="21"/>
              </w:rPr>
            </w:pPr>
            <w:r>
              <w:rPr>
                <w:rFonts w:hint="eastAsia"/>
                <w:color w:val="auto"/>
                <w:kern w:val="2"/>
                <w:sz w:val="21"/>
                <w:szCs w:val="21"/>
              </w:rPr>
              <w:t>--《</w:t>
            </w:r>
            <w:r>
              <w:rPr>
                <w:rFonts w:hint="eastAsia" w:ascii="Times New Roman" w:hAnsi="Times New Roman" w:cs="Arial"/>
                <w:color w:val="auto"/>
                <w:kern w:val="2"/>
                <w:sz w:val="21"/>
                <w:szCs w:val="21"/>
              </w:rPr>
              <w:t>信息交流沟通控制规范</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6"/>
              <w:spacing w:line="400" w:lineRule="exact"/>
              <w:rPr>
                <w:color w:val="auto"/>
                <w:kern w:val="2"/>
                <w:sz w:val="21"/>
                <w:szCs w:val="21"/>
              </w:rPr>
            </w:pPr>
            <w:r>
              <w:rPr>
                <w:rFonts w:hint="eastAsia"/>
                <w:color w:val="auto"/>
                <w:kern w:val="2"/>
                <w:sz w:val="21"/>
                <w:szCs w:val="21"/>
              </w:rPr>
              <w:t>对部门之间有需要交流的有关环境管理信息，在公司内部利用部门会议、宣传栏进行管理方针及目标、指标、管理方案及环保法律法规等内容的宣传、沟通。</w:t>
            </w:r>
          </w:p>
          <w:p>
            <w:pPr>
              <w:pStyle w:val="6"/>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auto"/>
                <w:szCs w:val="21"/>
              </w:rPr>
            </w:pPr>
            <w:r>
              <w:rPr>
                <w:rFonts w:hint="eastAsia" w:ascii="宋体" w:hAnsi="宋体" w:cs="Arial"/>
                <w:color w:val="auto"/>
                <w:szCs w:val="21"/>
              </w:rPr>
              <w:t>外部交流主要通过销售合同及电话、信函等方式进行。</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查见：与顾客沟通信息：</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与重庆市江津第六中学校2021年12月21日签定的教学家具销售合同。</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合同内容：规格型号及数量；质量要求和技术标准；质保期限；保修范围；服务措施，包装物的供应及回收（包装不回收）；售后服务；违约责任等要求。</w:t>
            </w:r>
            <w:bookmarkStart w:id="3" w:name="_GoBack"/>
            <w:bookmarkEnd w:id="3"/>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eastAsia="zh-CN"/>
              </w:rPr>
              <w:t>重庆</w:t>
            </w:r>
            <w:r>
              <w:rPr>
                <w:rFonts w:hint="eastAsia" w:ascii="宋体" w:hAnsi="宋体" w:cs="宋体"/>
                <w:color w:val="auto"/>
                <w:szCs w:val="21"/>
                <w:lang w:val="en-US" w:eastAsia="zh-CN"/>
              </w:rPr>
              <w:t>华宇集团有限公司</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日签定的</w:t>
            </w:r>
            <w:r>
              <w:rPr>
                <w:rFonts w:hint="eastAsia" w:ascii="宋体" w:hAnsi="宋体" w:cs="宋体"/>
                <w:color w:val="auto"/>
                <w:szCs w:val="21"/>
                <w:lang w:val="en-US" w:eastAsia="zh-CN"/>
              </w:rPr>
              <w:t>收藏室收纳柜、收纳货架</w:t>
            </w:r>
            <w:r>
              <w:rPr>
                <w:rFonts w:hint="eastAsia" w:ascii="宋体" w:hAnsi="宋体" w:cs="宋体"/>
                <w:color w:val="auto"/>
                <w:szCs w:val="21"/>
              </w:rPr>
              <w:t>销售合同。</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合同内容：</w:t>
            </w:r>
            <w:r>
              <w:rPr>
                <w:rFonts w:hint="eastAsia" w:ascii="宋体" w:hAnsi="宋体" w:cs="宋体"/>
                <w:color w:val="auto"/>
                <w:szCs w:val="21"/>
                <w:lang w:val="en-US" w:eastAsia="zh-CN"/>
              </w:rPr>
              <w:t>货物要求及价款；质量</w:t>
            </w:r>
            <w:r>
              <w:rPr>
                <w:rFonts w:hint="eastAsia" w:ascii="宋体" w:hAnsi="宋体" w:cs="宋体"/>
                <w:color w:val="auto"/>
                <w:szCs w:val="21"/>
              </w:rPr>
              <w:t>要求；</w:t>
            </w:r>
            <w:r>
              <w:rPr>
                <w:rFonts w:hint="eastAsia" w:ascii="宋体" w:hAnsi="宋体" w:cs="宋体"/>
                <w:color w:val="auto"/>
                <w:szCs w:val="21"/>
                <w:lang w:val="en-US" w:eastAsia="zh-CN"/>
              </w:rPr>
              <w:t>交货要求；验收要求；质保责任；</w:t>
            </w:r>
            <w:r>
              <w:rPr>
                <w:rFonts w:hint="eastAsia" w:ascii="宋体" w:hAnsi="宋体" w:cs="宋体"/>
                <w:color w:val="auto"/>
                <w:szCs w:val="21"/>
              </w:rPr>
              <w:t>包装物的供应及回收（包装回收）；</w:t>
            </w:r>
            <w:r>
              <w:rPr>
                <w:rFonts w:hint="eastAsia" w:ascii="宋体" w:hAnsi="宋体" w:cs="宋体"/>
                <w:color w:val="auto"/>
                <w:szCs w:val="21"/>
                <w:lang w:val="en-US" w:eastAsia="zh-CN"/>
              </w:rPr>
              <w:t>售后服务</w:t>
            </w:r>
            <w:r>
              <w:rPr>
                <w:rFonts w:hint="eastAsia" w:ascii="宋体" w:hAnsi="宋体" w:cs="宋体"/>
                <w:color w:val="auto"/>
                <w:szCs w:val="21"/>
              </w:rPr>
              <w:t>；违约责任等要求</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rPr>
              <w:t>3、与</w:t>
            </w:r>
            <w:r>
              <w:rPr>
                <w:rFonts w:hint="eastAsia" w:ascii="宋体" w:hAnsi="宋体" w:cs="宋体"/>
                <w:color w:val="auto"/>
                <w:szCs w:val="21"/>
                <w:lang w:val="en-US" w:eastAsia="zh-CN"/>
              </w:rPr>
              <w:t>重庆市巴南区人民政府李家沱街道办事处</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日签定的</w:t>
            </w:r>
            <w:r>
              <w:rPr>
                <w:rFonts w:hint="eastAsia" w:ascii="宋体" w:hAnsi="宋体" w:cs="宋体"/>
                <w:color w:val="auto"/>
                <w:szCs w:val="21"/>
                <w:lang w:val="en-US" w:eastAsia="zh-CN"/>
              </w:rPr>
              <w:t>办公家具</w:t>
            </w:r>
            <w:r>
              <w:rPr>
                <w:rFonts w:hint="eastAsia" w:ascii="宋体" w:hAnsi="宋体" w:cs="宋体"/>
                <w:color w:val="auto"/>
                <w:szCs w:val="21"/>
              </w:rPr>
              <w:t>销售合同。</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销售产品</w:t>
            </w:r>
            <w:r>
              <w:rPr>
                <w:rFonts w:hint="eastAsia" w:ascii="宋体" w:hAnsi="宋体" w:cs="宋体"/>
                <w:color w:val="auto"/>
                <w:szCs w:val="21"/>
              </w:rPr>
              <w:t>交货</w:t>
            </w:r>
            <w:r>
              <w:rPr>
                <w:rFonts w:hint="eastAsia" w:ascii="宋体" w:hAnsi="宋体" w:cs="宋体"/>
                <w:color w:val="auto"/>
                <w:szCs w:val="21"/>
                <w:lang w:val="en-US" w:eastAsia="zh-CN"/>
              </w:rPr>
              <w:t>时间、数量及交货地；</w:t>
            </w:r>
            <w:r>
              <w:rPr>
                <w:rFonts w:hint="eastAsia" w:ascii="宋体" w:hAnsi="宋体" w:cs="宋体"/>
                <w:color w:val="auto"/>
                <w:szCs w:val="21"/>
              </w:rPr>
              <w:t>物资的要求</w:t>
            </w:r>
            <w:r>
              <w:rPr>
                <w:rFonts w:hint="eastAsia" w:ascii="宋体" w:hAnsi="宋体" w:cs="宋体"/>
                <w:color w:val="auto"/>
                <w:szCs w:val="21"/>
                <w:lang w:val="en-US" w:eastAsia="zh-CN"/>
              </w:rPr>
              <w:t>与</w:t>
            </w:r>
            <w:r>
              <w:rPr>
                <w:rFonts w:hint="eastAsia" w:ascii="宋体" w:hAnsi="宋体" w:cs="宋体"/>
                <w:color w:val="auto"/>
                <w:szCs w:val="21"/>
              </w:rPr>
              <w:t>标准；</w:t>
            </w:r>
            <w:r>
              <w:rPr>
                <w:rFonts w:hint="eastAsia" w:ascii="宋体" w:hAnsi="宋体" w:cs="宋体"/>
                <w:color w:val="auto"/>
                <w:szCs w:val="21"/>
                <w:lang w:val="en-US" w:eastAsia="zh-CN"/>
              </w:rPr>
              <w:t>检验与要求；</w:t>
            </w:r>
            <w:r>
              <w:rPr>
                <w:rFonts w:hint="eastAsia" w:ascii="宋体" w:hAnsi="宋体" w:cs="宋体"/>
                <w:color w:val="auto"/>
                <w:szCs w:val="21"/>
              </w:rPr>
              <w:t>包装</w:t>
            </w:r>
            <w:r>
              <w:rPr>
                <w:rFonts w:hint="eastAsia" w:ascii="宋体" w:hAnsi="宋体" w:cs="宋体"/>
                <w:color w:val="auto"/>
                <w:szCs w:val="21"/>
                <w:lang w:val="en-US" w:eastAsia="zh-CN"/>
              </w:rPr>
              <w:t>与运输</w:t>
            </w:r>
            <w:r>
              <w:rPr>
                <w:rFonts w:hint="eastAsia" w:ascii="宋体" w:hAnsi="宋体" w:cs="宋体"/>
                <w:color w:val="auto"/>
                <w:szCs w:val="21"/>
              </w:rPr>
              <w:t>，包装物的供应及回收（包装不回收）；</w:t>
            </w:r>
            <w:r>
              <w:rPr>
                <w:rFonts w:hint="eastAsia" w:ascii="宋体" w:hAnsi="宋体" w:cs="宋体"/>
                <w:color w:val="auto"/>
                <w:szCs w:val="21"/>
                <w:lang w:val="en-US" w:eastAsia="zh-CN"/>
              </w:rPr>
              <w:t>售后服务</w:t>
            </w:r>
            <w:r>
              <w:rPr>
                <w:rFonts w:hint="eastAsia" w:ascii="宋体" w:hAnsi="宋体" w:cs="宋体"/>
                <w:color w:val="auto"/>
                <w:szCs w:val="21"/>
              </w:rPr>
              <w:t>；违约责任等要求</w:t>
            </w:r>
            <w:r>
              <w:rPr>
                <w:rFonts w:hint="eastAsia" w:ascii="宋体" w:hAnsi="宋体" w:cs="宋体"/>
                <w:color w:val="auto"/>
                <w:szCs w:val="21"/>
                <w:lang w:eastAsia="zh-CN"/>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、与</w:t>
            </w:r>
            <w:r>
              <w:rPr>
                <w:rFonts w:hint="eastAsia" w:ascii="宋体" w:hAnsi="宋体" w:cs="宋体"/>
                <w:color w:val="auto"/>
                <w:szCs w:val="21"/>
                <w:lang w:val="en-US" w:eastAsia="zh-CN"/>
              </w:rPr>
              <w:t>重庆达鸿兴精密机械制造有限公司</w:t>
            </w:r>
            <w:r>
              <w:rPr>
                <w:rFonts w:hint="eastAsia" w:ascii="宋体" w:hAnsi="宋体" w:cs="宋体"/>
                <w:color w:val="auto"/>
                <w:szCs w:val="21"/>
              </w:rPr>
              <w:t>20</w:t>
            </w:r>
            <w:r>
              <w:rPr>
                <w:rFonts w:hint="eastAsia" w:ascii="宋体" w:hAnsi="宋体" w:cs="宋体"/>
                <w:color w:val="auto"/>
                <w:szCs w:val="21"/>
                <w:lang w:val="en-US" w:eastAsia="zh-CN"/>
              </w:rPr>
              <w:t>22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日签定的</w:t>
            </w:r>
            <w:r>
              <w:rPr>
                <w:rFonts w:hint="eastAsia" w:ascii="宋体" w:hAnsi="宋体" w:cs="宋体"/>
                <w:color w:val="auto"/>
                <w:szCs w:val="21"/>
                <w:lang w:val="en-US" w:eastAsia="zh-CN"/>
              </w:rPr>
              <w:t>保密柜、文件柜、储物柜</w:t>
            </w:r>
            <w:r>
              <w:rPr>
                <w:rFonts w:hint="eastAsia" w:ascii="宋体" w:hAnsi="宋体" w:cs="宋体"/>
                <w:color w:val="auto"/>
                <w:szCs w:val="21"/>
              </w:rPr>
              <w:t>销售合同。</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销售产品</w:t>
            </w:r>
            <w:r>
              <w:rPr>
                <w:rFonts w:hint="eastAsia" w:ascii="宋体" w:hAnsi="宋体" w:cs="宋体"/>
                <w:color w:val="auto"/>
                <w:szCs w:val="21"/>
              </w:rPr>
              <w:t>交货</w:t>
            </w:r>
            <w:r>
              <w:rPr>
                <w:rFonts w:hint="eastAsia" w:ascii="宋体" w:hAnsi="宋体" w:cs="宋体"/>
                <w:color w:val="auto"/>
                <w:szCs w:val="21"/>
                <w:lang w:val="en-US" w:eastAsia="zh-CN"/>
              </w:rPr>
              <w:t>时间、数量及交货地；</w:t>
            </w:r>
            <w:r>
              <w:rPr>
                <w:rFonts w:hint="eastAsia" w:ascii="宋体" w:hAnsi="宋体" w:cs="宋体"/>
                <w:color w:val="auto"/>
                <w:szCs w:val="21"/>
              </w:rPr>
              <w:t>物资的要求</w:t>
            </w:r>
            <w:r>
              <w:rPr>
                <w:rFonts w:hint="eastAsia" w:ascii="宋体" w:hAnsi="宋体" w:cs="宋体"/>
                <w:color w:val="auto"/>
                <w:szCs w:val="21"/>
                <w:lang w:val="en-US" w:eastAsia="zh-CN"/>
              </w:rPr>
              <w:t>与</w:t>
            </w:r>
            <w:r>
              <w:rPr>
                <w:rFonts w:hint="eastAsia" w:ascii="宋体" w:hAnsi="宋体" w:cs="宋体"/>
                <w:color w:val="auto"/>
                <w:szCs w:val="21"/>
              </w:rPr>
              <w:t>标准；</w:t>
            </w:r>
            <w:r>
              <w:rPr>
                <w:rFonts w:hint="eastAsia" w:ascii="宋体" w:hAnsi="宋体" w:cs="宋体"/>
                <w:color w:val="auto"/>
                <w:szCs w:val="21"/>
                <w:lang w:val="en-US" w:eastAsia="zh-CN"/>
              </w:rPr>
              <w:t>检验与要求；</w:t>
            </w:r>
            <w:r>
              <w:rPr>
                <w:rFonts w:hint="eastAsia" w:ascii="宋体" w:hAnsi="宋体" w:cs="宋体"/>
                <w:color w:val="auto"/>
                <w:szCs w:val="21"/>
              </w:rPr>
              <w:t>包装</w:t>
            </w:r>
            <w:r>
              <w:rPr>
                <w:rFonts w:hint="eastAsia" w:ascii="宋体" w:hAnsi="宋体" w:cs="宋体"/>
                <w:color w:val="auto"/>
                <w:szCs w:val="21"/>
                <w:lang w:val="en-US" w:eastAsia="zh-CN"/>
              </w:rPr>
              <w:t>与运输</w:t>
            </w:r>
            <w:r>
              <w:rPr>
                <w:rFonts w:hint="eastAsia" w:ascii="宋体" w:hAnsi="宋体" w:cs="宋体"/>
                <w:color w:val="auto"/>
                <w:szCs w:val="21"/>
              </w:rPr>
              <w:t>，包装物的供应及回收（包装不回收）；</w:t>
            </w:r>
            <w:r>
              <w:rPr>
                <w:rFonts w:hint="eastAsia" w:ascii="宋体" w:hAnsi="宋体" w:cs="宋体"/>
                <w:color w:val="auto"/>
                <w:szCs w:val="21"/>
                <w:lang w:val="en-US" w:eastAsia="zh-CN"/>
              </w:rPr>
              <w:t>售后服务</w:t>
            </w:r>
            <w:r>
              <w:rPr>
                <w:rFonts w:hint="eastAsia" w:ascii="宋体" w:hAnsi="宋体" w:cs="宋体"/>
                <w:color w:val="auto"/>
                <w:szCs w:val="21"/>
              </w:rPr>
              <w:t>；违约责任等要求</w:t>
            </w:r>
            <w:r>
              <w:rPr>
                <w:rFonts w:hint="eastAsia" w:ascii="宋体" w:hAnsi="宋体" w:cs="宋体"/>
                <w:color w:val="auto"/>
                <w:szCs w:val="21"/>
                <w:lang w:eastAsia="zh-CN"/>
              </w:rPr>
              <w:t>。</w:t>
            </w:r>
          </w:p>
          <w:p>
            <w:pPr>
              <w:pStyle w:val="13"/>
              <w:rPr>
                <w:rFonts w:ascii="宋体" w:hAnsi="宋体" w:cs="宋体"/>
                <w:color w:val="auto"/>
                <w:szCs w:val="21"/>
              </w:rPr>
            </w:pPr>
            <w:r>
              <w:rPr>
                <w:rFonts w:hint="eastAsia" w:ascii="宋体" w:hAnsi="宋体" w:cs="宋体"/>
                <w:color w:val="auto"/>
                <w:szCs w:val="21"/>
              </w:rPr>
              <w:t>.....</w:t>
            </w:r>
          </w:p>
          <w:p>
            <w:pPr>
              <w:pStyle w:val="6"/>
              <w:spacing w:line="400" w:lineRule="exact"/>
              <w:ind w:firstLine="210" w:firstLineChars="100"/>
              <w:rPr>
                <w:color w:val="auto"/>
                <w:sz w:val="21"/>
                <w:szCs w:val="21"/>
              </w:rPr>
            </w:pPr>
            <w:r>
              <w:rPr>
                <w:rFonts w:hint="eastAsia"/>
                <w:color w:val="auto"/>
                <w:kern w:val="2"/>
                <w:sz w:val="21"/>
                <w:szCs w:val="21"/>
              </w:rPr>
              <w:t>部门员工参与协商，员工提出参与环境知识的学习和培训，在日常服务例会中有通报公司近期环境工作及加强环境管理工作，员工做好自身和其他保护环境方面的工作要求。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1）告知员工：环境管理者代表是</w:t>
            </w:r>
            <w:r>
              <w:rPr>
                <w:rFonts w:hint="eastAsia" w:ascii="宋体" w:hAnsi="宋体" w:cs="Arial"/>
                <w:color w:val="auto"/>
                <w:szCs w:val="21"/>
                <w:lang w:eastAsia="zh-CN"/>
              </w:rPr>
              <w:t>罗琼</w:t>
            </w:r>
            <w:r>
              <w:rPr>
                <w:rFonts w:hint="eastAsia" w:ascii="宋体" w:hAnsi="宋体" w:cs="Arial"/>
                <w:color w:val="auto"/>
                <w:szCs w:val="21"/>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color w:val="auto"/>
                <w:szCs w:val="21"/>
              </w:rPr>
            </w:pPr>
            <w:r>
              <w:rPr>
                <w:rFonts w:hint="eastAsia" w:ascii="宋体" w:hAnsi="宋体" w:cs="Arial"/>
                <w:color w:val="auto"/>
                <w:szCs w:val="21"/>
              </w:rPr>
              <w:t>3）将公司环境管理要求和意义作为新员工岗前培训内容。</w:t>
            </w:r>
          </w:p>
        </w:tc>
        <w:tc>
          <w:tcPr>
            <w:tcW w:w="1227" w:type="dxa"/>
          </w:tcPr>
          <w:p>
            <w:pPr>
              <w:rPr>
                <w:color w:val="auto"/>
              </w:rPr>
            </w:pPr>
            <w:r>
              <w:rPr>
                <w:rFonts w:hint="eastAsia"/>
                <w:color w:val="auto"/>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8.1 </w:t>
            </w:r>
          </w:p>
        </w:tc>
        <w:tc>
          <w:tcPr>
            <w:tcW w:w="10362" w:type="dxa"/>
          </w:tcPr>
          <w:p>
            <w:pPr>
              <w:rPr>
                <w:rFonts w:hint="eastAsia"/>
                <w:color w:val="auto"/>
                <w:sz w:val="21"/>
                <w:szCs w:val="21"/>
              </w:rPr>
            </w:pPr>
          </w:p>
          <w:p>
            <w:pPr>
              <w:rPr>
                <w:color w:val="auto"/>
                <w:sz w:val="21"/>
                <w:szCs w:val="21"/>
              </w:rPr>
            </w:pPr>
            <w:r>
              <w:rPr>
                <w:rFonts w:hint="eastAsia"/>
                <w:color w:val="auto"/>
                <w:sz w:val="21"/>
                <w:szCs w:val="21"/>
              </w:rPr>
              <w:t>查，销售部实施以下环境安全管理制度：《环境运行策划和控制规范》、《节约用电用水管理制度》、《固体废弃物管理制度》《消防安全管理制度》、《用电安全管理规定》等。</w:t>
            </w:r>
          </w:p>
          <w:p>
            <w:pPr>
              <w:rPr>
                <w:color w:val="auto"/>
                <w:sz w:val="21"/>
                <w:szCs w:val="21"/>
              </w:rPr>
            </w:pPr>
            <w:r>
              <w:rPr>
                <w:rFonts w:hint="eastAsia"/>
                <w:color w:val="auto"/>
                <w:sz w:val="21"/>
                <w:szCs w:val="21"/>
              </w:rPr>
              <w:t>查重要环境因素：</w:t>
            </w:r>
            <w:r>
              <w:rPr>
                <w:rFonts w:hint="eastAsia"/>
                <w:color w:val="auto"/>
                <w:sz w:val="21"/>
                <w:szCs w:val="21"/>
                <w:lang w:val="en-US" w:eastAsia="zh-CN"/>
              </w:rPr>
              <w:t>1）</w:t>
            </w:r>
            <w:r>
              <w:rPr>
                <w:rFonts w:hint="eastAsia"/>
                <w:color w:val="auto"/>
                <w:sz w:val="21"/>
                <w:szCs w:val="21"/>
              </w:rPr>
              <w:t>潜在火灾；</w:t>
            </w:r>
            <w:r>
              <w:rPr>
                <w:rFonts w:hint="eastAsia"/>
                <w:color w:val="auto"/>
                <w:sz w:val="21"/>
                <w:szCs w:val="21"/>
                <w:lang w:val="en-US" w:eastAsia="zh-CN"/>
              </w:rPr>
              <w:t>2）</w:t>
            </w:r>
            <w:r>
              <w:rPr>
                <w:rFonts w:hint="eastAsia"/>
                <w:color w:val="auto"/>
                <w:sz w:val="21"/>
                <w:szCs w:val="21"/>
              </w:rPr>
              <w:t>固废排放；</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w:t>
            </w:r>
            <w:r>
              <w:rPr>
                <w:rFonts w:hint="eastAsia" w:ascii="Times New Roman" w:hAnsi="Times New Roman" w:eastAsia="宋体" w:cs="Times New Roman"/>
                <w:szCs w:val="21"/>
                <w:lang w:val="en-US" w:eastAsia="zh-CN"/>
              </w:rPr>
              <w:t>销售</w:t>
            </w:r>
            <w:r>
              <w:rPr>
                <w:rFonts w:hint="eastAsia" w:ascii="Times New Roman" w:hAnsi="Times New Roman" w:eastAsia="宋体" w:cs="Times New Roman"/>
                <w:szCs w:val="21"/>
                <w:lang w:eastAsia="zh-CN"/>
              </w:rPr>
              <w:t>部办公区域环境</w:t>
            </w:r>
            <w:r>
              <w:rPr>
                <w:rFonts w:hint="eastAsia" w:ascii="Times New Roman" w:hAnsi="Times New Roman" w:eastAsia="宋体" w:cs="Times New Roman"/>
                <w:szCs w:val="21"/>
                <w:lang w:val="en-GB" w:eastAsia="zh-CN"/>
              </w:rPr>
              <w:t>运行控制情况：</w:t>
            </w:r>
            <w:r>
              <w:rPr>
                <w:rFonts w:hint="eastAsia" w:ascii="Times New Roman" w:hAnsi="Times New Roman" w:eastAsia="宋体" w:cs="Times New Roman"/>
                <w:szCs w:val="21"/>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lang w:val="en-US" w:eastAsia="zh-CN"/>
              </w:rPr>
              <w:t>；</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查看：现场未发现大功率电器使用；现场电线有穿管保护，固定布局、现场有禁止吸烟的提醒，办公设备均有接地保护。</w:t>
            </w:r>
          </w:p>
          <w:p>
            <w:pPr>
              <w:pStyle w:val="2"/>
              <w:rPr>
                <w:rFonts w:hint="eastAsia"/>
                <w:lang w:eastAsia="zh-CN"/>
              </w:rPr>
            </w:pPr>
            <w:r>
              <w:rPr>
                <w:rFonts w:hint="eastAsia" w:ascii="Times New Roman" w:hAnsi="Times New Roman" w:eastAsia="宋体" w:cs="Times New Roman"/>
                <w:szCs w:val="21"/>
                <w:lang w:eastAsia="zh-CN"/>
              </w:rPr>
              <w:t>查见办公区有一般固废分装桶，现场</w:t>
            </w:r>
            <w:r>
              <w:rPr>
                <w:rFonts w:hint="eastAsia" w:ascii="Times New Roman" w:hAnsi="Times New Roman" w:eastAsia="宋体" w:cs="Times New Roman"/>
                <w:szCs w:val="21"/>
                <w:lang w:val="en-US" w:eastAsia="zh-CN"/>
              </w:rPr>
              <w:t>查看无垃圾混装现象</w:t>
            </w:r>
            <w:r>
              <w:rPr>
                <w:rFonts w:hint="eastAsia" w:ascii="Times New Roman" w:hAnsi="Times New Roman" w:eastAsia="宋体" w:cs="Times New Roman"/>
                <w:szCs w:val="21"/>
                <w:lang w:eastAsia="zh-CN"/>
              </w:rPr>
              <w:t>。</w:t>
            </w:r>
          </w:p>
          <w:p>
            <w:pPr>
              <w:rPr>
                <w:rFonts w:hint="eastAsia"/>
                <w:color w:val="auto"/>
                <w:sz w:val="21"/>
                <w:szCs w:val="21"/>
              </w:rPr>
            </w:pPr>
            <w:r>
              <w:rPr>
                <w:rFonts w:hint="eastAsia"/>
                <w:color w:val="auto"/>
                <w:sz w:val="21"/>
                <w:szCs w:val="21"/>
                <w:lang w:val="en-US" w:eastAsia="zh-CN"/>
              </w:rPr>
              <w:t>查</w:t>
            </w:r>
            <w:r>
              <w:rPr>
                <w:rFonts w:hint="eastAsia"/>
                <w:color w:val="auto"/>
                <w:sz w:val="21"/>
                <w:szCs w:val="21"/>
              </w:rPr>
              <w:t>销售过程管理：</w:t>
            </w:r>
          </w:p>
          <w:p>
            <w:pPr>
              <w:numPr>
                <w:ilvl w:val="0"/>
                <w:numId w:val="6"/>
              </w:numPr>
              <w:rPr>
                <w:rFonts w:hint="eastAsia"/>
                <w:color w:val="auto"/>
                <w:sz w:val="21"/>
                <w:szCs w:val="21"/>
              </w:rPr>
            </w:pPr>
            <w:r>
              <w:rPr>
                <w:rFonts w:hint="eastAsia"/>
                <w:color w:val="auto"/>
                <w:sz w:val="21"/>
                <w:szCs w:val="21"/>
              </w:rPr>
              <w:t>废弃物管理：运输过程与物流方签订协议，明确</w:t>
            </w:r>
            <w:r>
              <w:rPr>
                <w:rFonts w:hint="eastAsia"/>
                <w:color w:val="auto"/>
                <w:sz w:val="21"/>
                <w:szCs w:val="21"/>
                <w:lang w:val="en-US" w:eastAsia="zh-CN"/>
              </w:rPr>
              <w:t>环保责任</w:t>
            </w:r>
            <w:r>
              <w:rPr>
                <w:rFonts w:hint="eastAsia"/>
                <w:color w:val="auto"/>
                <w:sz w:val="21"/>
                <w:szCs w:val="21"/>
              </w:rPr>
              <w:t>，严禁</w:t>
            </w:r>
            <w:r>
              <w:rPr>
                <w:rFonts w:hint="eastAsia"/>
                <w:color w:val="auto"/>
                <w:sz w:val="21"/>
                <w:szCs w:val="21"/>
                <w:lang w:val="en-US" w:eastAsia="zh-CN"/>
              </w:rPr>
              <w:t>随意丢弃包装物品</w:t>
            </w:r>
            <w:r>
              <w:rPr>
                <w:rFonts w:hint="eastAsia"/>
                <w:color w:val="auto"/>
                <w:sz w:val="21"/>
                <w:szCs w:val="21"/>
              </w:rPr>
              <w:t>；</w:t>
            </w:r>
          </w:p>
          <w:p>
            <w:pPr>
              <w:numPr>
                <w:ilvl w:val="0"/>
                <w:numId w:val="6"/>
              </w:numPr>
              <w:ind w:left="0" w:leftChars="0" w:firstLine="0" w:firstLineChars="0"/>
              <w:rPr>
                <w:rFonts w:hint="eastAsia"/>
                <w:color w:val="auto"/>
                <w:sz w:val="21"/>
                <w:szCs w:val="21"/>
                <w:lang w:eastAsia="zh-CN"/>
              </w:rPr>
            </w:pPr>
            <w:r>
              <w:rPr>
                <w:rFonts w:hint="eastAsia"/>
                <w:color w:val="auto"/>
                <w:sz w:val="21"/>
                <w:szCs w:val="21"/>
              </w:rPr>
              <w:t>相关方告知管理：告知客户，产品的材质性质，以及不合格或报废产品的处理方式</w:t>
            </w:r>
            <w:r>
              <w:rPr>
                <w:rFonts w:hint="eastAsia"/>
                <w:color w:val="auto"/>
                <w:sz w:val="21"/>
                <w:szCs w:val="21"/>
                <w:lang w:eastAsia="zh-CN"/>
              </w:rPr>
              <w:t>。</w:t>
            </w:r>
          </w:p>
          <w:p>
            <w:pPr>
              <w:pStyle w:val="2"/>
              <w:rPr>
                <w:rFonts w:hint="eastAsia"/>
                <w:lang w:eastAsia="zh-CN"/>
              </w:rPr>
            </w:pPr>
          </w:p>
          <w:p>
            <w:pPr>
              <w:pStyle w:val="13"/>
              <w:widowControl w:val="0"/>
              <w:numPr>
                <w:ilvl w:val="0"/>
                <w:numId w:val="0"/>
              </w:numPr>
              <w:autoSpaceDE w:val="0"/>
              <w:autoSpaceDN w:val="0"/>
              <w:adjustRightInd w:val="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查库房管理：</w:t>
            </w:r>
          </w:p>
          <w:p>
            <w:pPr>
              <w:pStyle w:val="13"/>
              <w:widowControl w:val="0"/>
              <w:numPr>
                <w:ilvl w:val="0"/>
                <w:numId w:val="0"/>
              </w:numPr>
              <w:autoSpaceDE w:val="0"/>
              <w:autoSpaceDN w:val="0"/>
              <w:adjustRightInd w:val="0"/>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公司设有销售产品库房1间，面积</w:t>
            </w:r>
            <w:r>
              <w:rPr>
                <w:rFonts w:hint="eastAsia" w:ascii="Times New Roman" w:hAnsi="Times New Roman" w:cs="Times New Roman"/>
                <w:color w:val="auto"/>
                <w:kern w:val="2"/>
                <w:sz w:val="21"/>
                <w:szCs w:val="21"/>
                <w:highlight w:val="none"/>
                <w:lang w:val="en-US" w:eastAsia="zh-CN" w:bidi="ar-SA"/>
              </w:rPr>
              <w:t>8</w:t>
            </w:r>
            <w:r>
              <w:rPr>
                <w:rFonts w:hint="eastAsia" w:ascii="Times New Roman" w:hAnsi="Times New Roman" w:eastAsia="宋体" w:cs="Times New Roman"/>
                <w:color w:val="auto"/>
                <w:kern w:val="2"/>
                <w:sz w:val="21"/>
                <w:szCs w:val="21"/>
                <w:highlight w:val="none"/>
                <w:lang w:val="en-US" w:eastAsia="zh-CN" w:bidi="ar-SA"/>
              </w:rPr>
              <w:t>0平方米左右，</w:t>
            </w:r>
            <w:r>
              <w:rPr>
                <w:rFonts w:hint="eastAsia" w:ascii="Times New Roman" w:hAnsi="Times New Roman" w:cs="Times New Roman"/>
                <w:color w:val="auto"/>
                <w:kern w:val="2"/>
                <w:sz w:val="21"/>
                <w:szCs w:val="21"/>
                <w:highlight w:val="none"/>
                <w:lang w:val="en-US" w:eastAsia="zh-CN" w:bidi="ar-SA"/>
              </w:rPr>
              <w:t>存放的产品主要为铁皮柜、文件柜、零配件等</w:t>
            </w:r>
            <w:r>
              <w:rPr>
                <w:rFonts w:hint="eastAsia"/>
                <w:color w:val="auto"/>
                <w:sz w:val="21"/>
                <w:szCs w:val="21"/>
                <w:highlight w:val="none"/>
                <w:lang w:val="en-US" w:eastAsia="zh-CN"/>
              </w:rPr>
              <w:t>，销售产品按分区存放，现场查看销售产品存放有序，产品销售库房按规定配置有一定数量灭火器材，并按期进行了点检。基本符合要求。</w:t>
            </w: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r>
              <w:rPr>
                <w:rFonts w:hint="default"/>
                <w:color w:val="auto"/>
                <w:sz w:val="21"/>
                <w:szCs w:val="21"/>
                <w:lang w:val="en-US" w:eastAsia="zh-CN"/>
              </w:rPr>
              <w:drawing>
                <wp:anchor distT="0" distB="0" distL="114300" distR="114300" simplePos="0" relativeHeight="251659264" behindDoc="0" locked="0" layoutInCell="1" allowOverlap="1">
                  <wp:simplePos x="0" y="0"/>
                  <wp:positionH relativeFrom="column">
                    <wp:posOffset>4485005</wp:posOffset>
                  </wp:positionH>
                  <wp:positionV relativeFrom="paragraph">
                    <wp:posOffset>146050</wp:posOffset>
                  </wp:positionV>
                  <wp:extent cx="1773555" cy="1665605"/>
                  <wp:effectExtent l="0" t="0" r="17145" b="10795"/>
                  <wp:wrapNone/>
                  <wp:docPr id="3" name="图片 3" descr="098849a5cb68b23b414defadfb6a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8849a5cb68b23b414defadfb6afa2"/>
                          <pic:cNvPicPr>
                            <a:picLocks noChangeAspect="1"/>
                          </pic:cNvPicPr>
                        </pic:nvPicPr>
                        <pic:blipFill>
                          <a:blip r:embed="rId6"/>
                          <a:stretch>
                            <a:fillRect/>
                          </a:stretch>
                        </pic:blipFill>
                        <pic:spPr>
                          <a:xfrm>
                            <a:off x="0" y="0"/>
                            <a:ext cx="1773555" cy="1665605"/>
                          </a:xfrm>
                          <a:prstGeom prst="rect">
                            <a:avLst/>
                          </a:prstGeom>
                        </pic:spPr>
                      </pic:pic>
                    </a:graphicData>
                  </a:graphic>
                </wp:anchor>
              </w:drawing>
            </w:r>
            <w:r>
              <w:rPr>
                <w:rFonts w:hint="default"/>
                <w:color w:val="auto"/>
                <w:sz w:val="21"/>
                <w:szCs w:val="21"/>
                <w:lang w:val="en-US" w:eastAsia="zh-CN"/>
              </w:rPr>
              <w:drawing>
                <wp:anchor distT="0" distB="0" distL="114300" distR="114300" simplePos="0" relativeHeight="251660288" behindDoc="0" locked="0" layoutInCell="1" allowOverlap="1">
                  <wp:simplePos x="0" y="0"/>
                  <wp:positionH relativeFrom="column">
                    <wp:posOffset>2350135</wp:posOffset>
                  </wp:positionH>
                  <wp:positionV relativeFrom="paragraph">
                    <wp:posOffset>151130</wp:posOffset>
                  </wp:positionV>
                  <wp:extent cx="2006600" cy="1668780"/>
                  <wp:effectExtent l="0" t="0" r="12700" b="7620"/>
                  <wp:wrapNone/>
                  <wp:docPr id="5" name="图片 5" descr="dfec310bdcf3b262a24d0c38a606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ec310bdcf3b262a24d0c38a606e72"/>
                          <pic:cNvPicPr>
                            <a:picLocks noChangeAspect="1"/>
                          </pic:cNvPicPr>
                        </pic:nvPicPr>
                        <pic:blipFill>
                          <a:blip r:embed="rId7"/>
                          <a:stretch>
                            <a:fillRect/>
                          </a:stretch>
                        </pic:blipFill>
                        <pic:spPr>
                          <a:xfrm>
                            <a:off x="0" y="0"/>
                            <a:ext cx="2006600" cy="1668780"/>
                          </a:xfrm>
                          <a:prstGeom prst="rect">
                            <a:avLst/>
                          </a:prstGeom>
                        </pic:spPr>
                      </pic:pic>
                    </a:graphicData>
                  </a:graphic>
                </wp:anchor>
              </w:drawing>
            </w:r>
            <w:r>
              <w:rPr>
                <w:rFonts w:hint="default"/>
                <w:color w:val="auto"/>
                <w:sz w:val="21"/>
                <w:szCs w:val="21"/>
                <w:lang w:val="en-US" w:eastAsia="zh-CN"/>
              </w:rPr>
              <w:drawing>
                <wp:anchor distT="0" distB="0" distL="114300" distR="114300" simplePos="0" relativeHeight="251661312" behindDoc="0" locked="0" layoutInCell="1" allowOverlap="1">
                  <wp:simplePos x="0" y="0"/>
                  <wp:positionH relativeFrom="column">
                    <wp:posOffset>254000</wp:posOffset>
                  </wp:positionH>
                  <wp:positionV relativeFrom="paragraph">
                    <wp:posOffset>123825</wp:posOffset>
                  </wp:positionV>
                  <wp:extent cx="1998345" cy="1712595"/>
                  <wp:effectExtent l="0" t="0" r="1905" b="1905"/>
                  <wp:wrapNone/>
                  <wp:docPr id="6" name="图片 6" descr="f73e41f03f90b532428a95e12667f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73e41f03f90b532428a95e12667f77"/>
                          <pic:cNvPicPr>
                            <a:picLocks noChangeAspect="1"/>
                          </pic:cNvPicPr>
                        </pic:nvPicPr>
                        <pic:blipFill>
                          <a:blip r:embed="rId8"/>
                          <a:stretch>
                            <a:fillRect/>
                          </a:stretch>
                        </pic:blipFill>
                        <pic:spPr>
                          <a:xfrm>
                            <a:off x="0" y="0"/>
                            <a:ext cx="1998345" cy="1712595"/>
                          </a:xfrm>
                          <a:prstGeom prst="rect">
                            <a:avLst/>
                          </a:prstGeom>
                        </pic:spPr>
                      </pic:pic>
                    </a:graphicData>
                  </a:graphic>
                </wp:anchor>
              </w:drawing>
            </w: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p>
            <w:pPr>
              <w:pStyle w:val="13"/>
              <w:widowControl w:val="0"/>
              <w:numPr>
                <w:ilvl w:val="0"/>
                <w:numId w:val="0"/>
              </w:numPr>
              <w:autoSpaceDE w:val="0"/>
              <w:autoSpaceDN w:val="0"/>
              <w:adjustRightInd w:val="0"/>
              <w:rPr>
                <w:rFonts w:hint="default"/>
                <w:color w:val="auto"/>
                <w:sz w:val="21"/>
                <w:szCs w:val="21"/>
                <w:lang w:val="en-US" w:eastAsia="zh-CN"/>
              </w:rPr>
            </w:pPr>
          </w:p>
        </w:tc>
        <w:tc>
          <w:tcPr>
            <w:tcW w:w="1227" w:type="dxa"/>
          </w:tcPr>
          <w:p>
            <w:pPr>
              <w:rPr>
                <w:color w:val="auto"/>
                <w:sz w:val="21"/>
                <w:szCs w:val="21"/>
              </w:rPr>
            </w:pPr>
            <w:r>
              <w:rPr>
                <w:rFonts w:hint="eastAsia"/>
                <w:color w:val="auto"/>
                <w:sz w:val="21"/>
                <w:szCs w:val="21"/>
              </w:rPr>
              <w:t>符合</w:t>
            </w:r>
          </w:p>
          <w:p>
            <w:pP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8.2</w:t>
            </w:r>
          </w:p>
        </w:tc>
        <w:tc>
          <w:tcPr>
            <w:tcW w:w="10362" w:type="dxa"/>
          </w:tcPr>
          <w:p>
            <w:pPr>
              <w:spacing w:line="400" w:lineRule="atLeast"/>
              <w:ind w:firstLine="420" w:firstLineChars="200"/>
              <w:rPr>
                <w:color w:val="auto"/>
                <w:sz w:val="21"/>
                <w:szCs w:val="21"/>
              </w:rPr>
            </w:pPr>
            <w:r>
              <w:rPr>
                <w:rFonts w:hint="eastAsia" w:cs="宋体"/>
                <w:color w:val="auto"/>
                <w:sz w:val="21"/>
                <w:szCs w:val="21"/>
              </w:rPr>
              <w:t>查见：《</w:t>
            </w:r>
            <w:r>
              <w:rPr>
                <w:rFonts w:hint="eastAsia" w:ascii="宋体" w:hAnsi="宋体" w:cs="宋体"/>
                <w:color w:val="auto"/>
                <w:sz w:val="21"/>
                <w:szCs w:val="21"/>
                <w:lang w:eastAsia="zh-CN"/>
              </w:rPr>
              <w:t>应急准备与响应控制规范</w:t>
            </w:r>
            <w:r>
              <w:rPr>
                <w:rFonts w:hint="eastAsia" w:cs="宋体"/>
                <w:color w:val="auto"/>
                <w:sz w:val="21"/>
                <w:szCs w:val="21"/>
              </w:rPr>
              <w:t>》、《</w:t>
            </w:r>
            <w:r>
              <w:rPr>
                <w:rFonts w:hint="eastAsia" w:ascii="宋体" w:hAnsi="宋体" w:cs="宋体"/>
                <w:color w:val="auto"/>
                <w:sz w:val="21"/>
                <w:szCs w:val="21"/>
              </w:rPr>
              <w:t>消防应急预案</w:t>
            </w:r>
            <w:r>
              <w:rPr>
                <w:rFonts w:hint="eastAsia" w:cs="宋体"/>
                <w:color w:val="auto"/>
                <w:sz w:val="21"/>
                <w:szCs w:val="21"/>
              </w:rPr>
              <w:t>》等。</w:t>
            </w:r>
          </w:p>
          <w:p>
            <w:pPr>
              <w:spacing w:line="360" w:lineRule="auto"/>
              <w:jc w:val="left"/>
              <w:rPr>
                <w:rFonts w:ascii="宋体" w:hAnsi="宋体" w:cs="宋体"/>
                <w:color w:val="auto"/>
                <w:sz w:val="21"/>
                <w:szCs w:val="21"/>
              </w:rPr>
            </w:pPr>
            <w:r>
              <w:rPr>
                <w:rFonts w:hint="eastAsia" w:cs="宋体"/>
                <w:color w:val="auto"/>
                <w:sz w:val="21"/>
                <w:szCs w:val="21"/>
              </w:rPr>
              <w:t>查见：消防演练实况记录：销售部相关人员</w:t>
            </w:r>
            <w:r>
              <w:rPr>
                <w:rFonts w:hint="eastAsia" w:ascii="宋体" w:hAnsi="宋体" w:cs="宋体"/>
                <w:color w:val="auto"/>
                <w:sz w:val="21"/>
                <w:szCs w:val="21"/>
              </w:rPr>
              <w:t>参加了</w:t>
            </w:r>
            <w:r>
              <w:rPr>
                <w:rFonts w:hint="eastAsia" w:ascii="宋体" w:cs="宋体"/>
                <w:color w:val="auto"/>
                <w:sz w:val="21"/>
                <w:szCs w:val="21"/>
                <w:lang w:val="en-US" w:eastAsia="zh-CN" w:bidi="ar"/>
              </w:rPr>
              <w:t>2022年3月28日</w:t>
            </w:r>
            <w:r>
              <w:rPr>
                <w:rFonts w:hint="eastAsia" w:ascii="宋体" w:hAnsi="宋体" w:cs="宋体"/>
                <w:color w:val="auto"/>
                <w:sz w:val="21"/>
                <w:szCs w:val="21"/>
              </w:rPr>
              <w:t>在公司由</w:t>
            </w:r>
            <w:r>
              <w:rPr>
                <w:rFonts w:hint="eastAsia" w:ascii="宋体" w:hAnsi="宋体" w:cs="宋体"/>
                <w:color w:val="auto"/>
                <w:sz w:val="21"/>
                <w:szCs w:val="21"/>
                <w:lang w:eastAsia="zh-CN"/>
              </w:rPr>
              <w:t>行政部</w:t>
            </w:r>
            <w:r>
              <w:rPr>
                <w:rFonts w:hint="eastAsia" w:ascii="宋体" w:hAnsi="宋体" w:cs="宋体"/>
                <w:color w:val="auto"/>
                <w:sz w:val="21"/>
                <w:szCs w:val="21"/>
              </w:rPr>
              <w:t>组织的火灾消防演练。</w:t>
            </w:r>
          </w:p>
          <w:p>
            <w:pPr>
              <w:spacing w:line="360" w:lineRule="auto"/>
              <w:ind w:firstLine="420" w:firstLineChars="200"/>
              <w:rPr>
                <w:rFonts w:hint="eastAsia" w:ascii="宋体" w:cs="宋体"/>
                <w:b w:val="0"/>
                <w:bCs w:val="0"/>
                <w:color w:val="auto"/>
                <w:sz w:val="21"/>
                <w:szCs w:val="21"/>
              </w:rPr>
            </w:pPr>
            <w:r>
              <w:rPr>
                <w:rFonts w:hint="eastAsia" w:ascii="宋体" w:cs="宋体"/>
                <w:color w:val="auto"/>
                <w:sz w:val="21"/>
                <w:szCs w:val="21"/>
              </w:rPr>
              <w:t>查，现场对应，部门员工的安全</w:t>
            </w:r>
            <w:r>
              <w:rPr>
                <w:rFonts w:hint="eastAsia" w:ascii="宋体" w:cs="宋体"/>
                <w:b w:val="0"/>
                <w:bCs w:val="0"/>
                <w:color w:val="auto"/>
                <w:sz w:val="21"/>
                <w:szCs w:val="21"/>
              </w:rPr>
              <w:t>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color w:val="auto"/>
                <w:sz w:val="21"/>
                <w:szCs w:val="21"/>
              </w:rPr>
            </w:pPr>
            <w:r>
              <w:rPr>
                <w:rFonts w:hint="default" w:ascii="方正仿宋简体" w:hAnsi="Times New Roman" w:eastAsia="方正仿宋简体" w:cs="Times New Roman"/>
                <w:b w:val="0"/>
                <w:bCs w:val="0"/>
                <w:color w:val="auto"/>
                <w:sz w:val="21"/>
                <w:szCs w:val="21"/>
                <w:lang w:val="en-US" w:eastAsia="zh-CN"/>
              </w:rPr>
              <w:t>查应急准备：</w:t>
            </w:r>
            <w:r>
              <w:rPr>
                <w:rFonts w:hint="eastAsia" w:ascii="方正仿宋简体" w:eastAsia="方正仿宋简体" w:cs="Times New Roman"/>
                <w:b w:val="0"/>
                <w:bCs w:val="0"/>
                <w:color w:val="auto"/>
                <w:sz w:val="21"/>
                <w:szCs w:val="21"/>
                <w:lang w:val="en-US" w:eastAsia="zh-CN"/>
              </w:rPr>
              <w:t>办公区域</w:t>
            </w:r>
            <w:r>
              <w:rPr>
                <w:rFonts w:hint="eastAsia" w:ascii="宋体"/>
                <w:b w:val="0"/>
                <w:bCs w:val="0"/>
                <w:color w:val="auto"/>
                <w:kern w:val="0"/>
                <w:sz w:val="21"/>
                <w:szCs w:val="21"/>
              </w:rPr>
              <w:t>配置有灭火器</w:t>
            </w:r>
            <w:r>
              <w:rPr>
                <w:rFonts w:hint="eastAsia" w:ascii="宋体"/>
                <w:b w:val="0"/>
                <w:bCs w:val="0"/>
                <w:color w:val="auto"/>
                <w:kern w:val="0"/>
                <w:sz w:val="21"/>
                <w:szCs w:val="21"/>
                <w:lang w:eastAsia="zh-CN"/>
              </w:rPr>
              <w:t>，</w:t>
            </w:r>
            <w:r>
              <w:rPr>
                <w:rFonts w:hint="eastAsia" w:ascii="宋体"/>
                <w:b w:val="0"/>
                <w:bCs w:val="0"/>
                <w:color w:val="auto"/>
                <w:kern w:val="0"/>
                <w:sz w:val="21"/>
                <w:szCs w:val="21"/>
                <w:lang w:val="en-US" w:eastAsia="zh-CN"/>
              </w:rPr>
              <w:t>性能完好</w:t>
            </w:r>
            <w:r>
              <w:rPr>
                <w:rFonts w:hint="eastAsia" w:ascii="方正仿宋简体" w:hAnsi="Times New Roman" w:eastAsia="方正仿宋简体" w:cs="Times New Roman"/>
                <w:b w:val="0"/>
                <w:bCs w:val="0"/>
                <w:color w:val="auto"/>
                <w:sz w:val="21"/>
                <w:szCs w:val="21"/>
              </w:rPr>
              <w:t>。</w:t>
            </w:r>
          </w:p>
        </w:tc>
        <w:tc>
          <w:tcPr>
            <w:tcW w:w="1227" w:type="dxa"/>
          </w:tcPr>
          <w:p>
            <w:pPr>
              <w:pStyle w:val="13"/>
              <w:rPr>
                <w:rFonts w:hint="default" w:eastAsia="宋体"/>
                <w:color w:val="auto"/>
                <w:sz w:val="21"/>
                <w:szCs w:val="21"/>
                <w:lang w:val="en-US" w:eastAsia="zh-CN"/>
              </w:rPr>
            </w:pPr>
            <w:r>
              <w:rPr>
                <w:rFonts w:hint="eastAsia"/>
                <w:color w:val="auto"/>
                <w:sz w:val="21"/>
                <w:szCs w:val="21"/>
                <w:lang w:val="en-US" w:eastAsia="zh-CN"/>
              </w:rPr>
              <w:t>符合</w:t>
            </w:r>
          </w:p>
        </w:tc>
      </w:tr>
    </w:tbl>
    <w:p>
      <w:pPr>
        <w:rPr>
          <w:color w:val="auto"/>
        </w:rPr>
      </w:pPr>
      <w:r>
        <w:rPr>
          <w:rFonts w:hint="eastAsia"/>
          <w:color w:val="auto"/>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AA30CD9E"/>
    <w:multiLevelType w:val="singleLevel"/>
    <w:tmpl w:val="AA30CD9E"/>
    <w:lvl w:ilvl="0" w:tentative="0">
      <w:start w:val="1"/>
      <w:numFmt w:val="chineseCounting"/>
      <w:suff w:val="nothing"/>
      <w:lvlText w:val="%1、"/>
      <w:lvlJc w:val="left"/>
      <w:rPr>
        <w:rFonts w:hint="eastAsia"/>
      </w:rPr>
    </w:lvl>
  </w:abstractNum>
  <w:abstractNum w:abstractNumId="2">
    <w:nsid w:val="B768F125"/>
    <w:multiLevelType w:val="singleLevel"/>
    <w:tmpl w:val="B768F125"/>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96773A"/>
    <w:multiLevelType w:val="singleLevel"/>
    <w:tmpl w:val="3896773A"/>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1D5F1562"/>
    <w:rsid w:val="2D0127D6"/>
    <w:rsid w:val="31A57A34"/>
    <w:rsid w:val="3239017C"/>
    <w:rsid w:val="565C6063"/>
    <w:rsid w:val="5825174F"/>
    <w:rsid w:val="5E313EFA"/>
    <w:rsid w:val="688A4CB2"/>
    <w:rsid w:val="6AB73D58"/>
    <w:rsid w:val="77664B3C"/>
    <w:rsid w:val="78E2280D"/>
    <w:rsid w:val="7A217807"/>
    <w:rsid w:val="7AF96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cs="Times New Roman"/>
      <w:color w:val="000000"/>
      <w:kern w:val="0"/>
      <w:szCs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4">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11757</Words>
  <Characters>12293</Characters>
  <Lines>1</Lines>
  <Paragraphs>1</Paragraphs>
  <TotalTime>5</TotalTime>
  <ScaleCrop>false</ScaleCrop>
  <LinksUpToDate>false</LinksUpToDate>
  <CharactersWithSpaces>12642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2022-09-16T06:17:16Z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2052-11.1.0.12358</vt:lpwstr>
  </property>
</Properties>
</file>