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DD" w:rsidRDefault="0064315B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潜水电泵转子外径测量不确定度评定</w:t>
      </w:r>
    </w:p>
    <w:p w:rsidR="007254DD" w:rsidRDefault="00F82EF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7254DD" w:rsidRDefault="00F82EF2">
      <w:pPr>
        <w:adjustRightInd w:val="0"/>
        <w:snapToGrid w:val="0"/>
        <w:rPr>
          <w:szCs w:val="21"/>
        </w:rPr>
      </w:pPr>
      <w:r>
        <w:rPr>
          <w:rFonts w:ascii="宋体" w:hAnsi="宋体" w:hint="eastAsia"/>
          <w:sz w:val="24"/>
        </w:rPr>
        <w:t>1.1</w:t>
      </w:r>
      <w:r>
        <w:rPr>
          <w:rFonts w:hint="eastAsia"/>
          <w:szCs w:val="21"/>
        </w:rPr>
        <w:t>检测依据：依据</w:t>
      </w:r>
      <w:r>
        <w:rPr>
          <w:rFonts w:hint="eastAsia"/>
          <w:szCs w:val="21"/>
        </w:rPr>
        <w:t>LS-C-04-312/MM-2015</w:t>
      </w:r>
      <w:r>
        <w:rPr>
          <w:rFonts w:hint="eastAsia"/>
          <w:szCs w:val="21"/>
        </w:rPr>
        <w:t>《潜水电泵转子轴外径尺寸测量过程控制规范》、《潜水电泵转子轴图纸、工艺卡》。</w:t>
      </w:r>
    </w:p>
    <w:p w:rsidR="007254DD" w:rsidRDefault="00F82EF2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检测环境条件：常温</w:t>
      </w:r>
    </w:p>
    <w:p w:rsidR="007254DD" w:rsidRDefault="00F82EF2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1.3</w:t>
      </w:r>
      <w:r>
        <w:rPr>
          <w:rFonts w:hint="eastAsia"/>
          <w:szCs w:val="21"/>
        </w:rPr>
        <w:t>核查标准：量块</w:t>
      </w:r>
      <w:r>
        <w:rPr>
          <w:rFonts w:hint="eastAsia"/>
          <w:szCs w:val="21"/>
        </w:rPr>
        <w:t>120.48</w:t>
      </w:r>
      <w:r w:rsidR="00C631D3" w:rsidRPr="00C631D3">
        <w:rPr>
          <w:rFonts w:hint="eastAsia"/>
          <w:szCs w:val="21"/>
        </w:rPr>
        <w:object w:dxaOrig="4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0pt" o:ole="">
            <v:imagedata r:id="rId6" o:title=""/>
          </v:shape>
          <o:OLEObject Type="Embed" ProgID="Equation.3" ShapeID="_x0000_i1025" DrawAspect="Content" ObjectID="_1726419695" r:id="rId7"/>
        </w:object>
      </w:r>
    </w:p>
    <w:p w:rsidR="007254DD" w:rsidRDefault="00F82EF2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1.4</w:t>
      </w:r>
      <w:r>
        <w:rPr>
          <w:rFonts w:hint="eastAsia"/>
          <w:szCs w:val="21"/>
        </w:rPr>
        <w:t>测量设备：量程为</w:t>
      </w:r>
      <w:r>
        <w:rPr>
          <w:szCs w:val="21"/>
        </w:rPr>
        <w:t>（</w:t>
      </w:r>
      <w:r>
        <w:rPr>
          <w:rFonts w:hint="eastAsia"/>
          <w:szCs w:val="21"/>
        </w:rPr>
        <w:t>100</w:t>
      </w:r>
      <w:r>
        <w:rPr>
          <w:rFonts w:hAnsi="宋体"/>
          <w:szCs w:val="21"/>
        </w:rPr>
        <w:t>～</w:t>
      </w:r>
      <w:r>
        <w:rPr>
          <w:rFonts w:hAnsi="宋体" w:hint="eastAsia"/>
          <w:szCs w:val="21"/>
        </w:rPr>
        <w:t>1</w:t>
      </w:r>
      <w:r>
        <w:rPr>
          <w:rFonts w:hint="eastAsia"/>
          <w:szCs w:val="21"/>
        </w:rPr>
        <w:t>25</w:t>
      </w:r>
      <w:r>
        <w:rPr>
          <w:szCs w:val="21"/>
        </w:rPr>
        <w:t>）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、分度值：</w:t>
      </w:r>
      <w:r>
        <w:rPr>
          <w:rFonts w:hint="eastAsia"/>
          <w:szCs w:val="21"/>
        </w:rPr>
        <w:t>0.01</w:t>
      </w:r>
      <w:r>
        <w:rPr>
          <w:rFonts w:hint="eastAsia"/>
          <w:szCs w:val="21"/>
        </w:rPr>
        <w:t>的外径千分尺，其最大允许示值误差为±</w:t>
      </w:r>
      <w:r>
        <w:rPr>
          <w:rFonts w:hint="eastAsia"/>
          <w:szCs w:val="21"/>
        </w:rPr>
        <w:t>0.006mm</w:t>
      </w:r>
      <w:r>
        <w:rPr>
          <w:rFonts w:hint="eastAsia"/>
          <w:szCs w:val="21"/>
        </w:rPr>
        <w:t>。</w:t>
      </w:r>
    </w:p>
    <w:p w:rsidR="007254DD" w:rsidRDefault="00F82EF2">
      <w:pPr>
        <w:rPr>
          <w:szCs w:val="21"/>
        </w:rPr>
      </w:pP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其</w:t>
      </w:r>
      <w:r>
        <w:rPr>
          <w:szCs w:val="21"/>
        </w:rPr>
        <w:t>测量数学模型为</w:t>
      </w:r>
      <w:r>
        <w:rPr>
          <w:i/>
          <w:szCs w:val="21"/>
        </w:rPr>
        <w:t>y</w:t>
      </w:r>
      <w:r>
        <w:rPr>
          <w:szCs w:val="21"/>
        </w:rPr>
        <w:t>﹦</w:t>
      </w:r>
      <w:r>
        <w:rPr>
          <w:i/>
          <w:szCs w:val="21"/>
        </w:rPr>
        <w:t>x</w:t>
      </w:r>
    </w:p>
    <w:p w:rsidR="007254DD" w:rsidRDefault="00F82EF2">
      <w:pPr>
        <w:ind w:firstLineChars="200" w:firstLine="420"/>
        <w:rPr>
          <w:szCs w:val="21"/>
        </w:rPr>
      </w:pPr>
      <w:r>
        <w:rPr>
          <w:i/>
          <w:szCs w:val="21"/>
        </w:rPr>
        <w:t>y</w:t>
      </w:r>
      <w:r>
        <w:rPr>
          <w:szCs w:val="21"/>
        </w:rPr>
        <w:t>—</w:t>
      </w:r>
      <w:r>
        <w:rPr>
          <w:szCs w:val="21"/>
        </w:rPr>
        <w:t>表示被测</w:t>
      </w:r>
      <w:r>
        <w:rPr>
          <w:rFonts w:hint="eastAsia"/>
          <w:szCs w:val="21"/>
        </w:rPr>
        <w:t>量块</w:t>
      </w:r>
      <w:r>
        <w:rPr>
          <w:szCs w:val="21"/>
        </w:rPr>
        <w:t>的量值</w:t>
      </w:r>
    </w:p>
    <w:p w:rsidR="007254DD" w:rsidRDefault="00F82EF2">
      <w:pPr>
        <w:ind w:firstLineChars="200" w:firstLine="420"/>
        <w:rPr>
          <w:szCs w:val="21"/>
        </w:rPr>
      </w:pPr>
      <w:r>
        <w:rPr>
          <w:i/>
          <w:szCs w:val="21"/>
        </w:rPr>
        <w:t>x</w:t>
      </w:r>
      <w:r>
        <w:rPr>
          <w:szCs w:val="21"/>
        </w:rPr>
        <w:t>—</w:t>
      </w:r>
      <w:r>
        <w:rPr>
          <w:szCs w:val="21"/>
        </w:rPr>
        <w:t>表示外径千分尺的读数</w:t>
      </w:r>
    </w:p>
    <w:p w:rsidR="007254DD" w:rsidRDefault="00F82EF2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7254DD" w:rsidRDefault="00F82EF2">
      <w:pPr>
        <w:ind w:firstLineChars="200" w:firstLine="420"/>
        <w:rPr>
          <w:rFonts w:ascii="宋体" w:hAnsi="宋体"/>
          <w:sz w:val="24"/>
        </w:rPr>
      </w:pPr>
      <w:r>
        <w:rPr>
          <w:szCs w:val="21"/>
        </w:rPr>
        <w:t>用测量范围为（</w:t>
      </w:r>
      <w:r>
        <w:rPr>
          <w:rFonts w:hint="eastAsia"/>
          <w:szCs w:val="21"/>
        </w:rPr>
        <w:t>100</w:t>
      </w:r>
      <w:r>
        <w:rPr>
          <w:rFonts w:hAnsi="宋体"/>
          <w:szCs w:val="21"/>
        </w:rPr>
        <w:t>～</w:t>
      </w:r>
      <w:r>
        <w:rPr>
          <w:rFonts w:hAnsi="宋体" w:hint="eastAsia"/>
          <w:szCs w:val="21"/>
        </w:rPr>
        <w:t>1</w:t>
      </w:r>
      <w:r>
        <w:rPr>
          <w:rFonts w:hint="eastAsia"/>
          <w:szCs w:val="21"/>
        </w:rPr>
        <w:t>25</w:t>
      </w:r>
      <w:r>
        <w:rPr>
          <w:szCs w:val="21"/>
        </w:rPr>
        <w:t>）</w:t>
      </w:r>
      <w:r>
        <w:rPr>
          <w:szCs w:val="21"/>
        </w:rPr>
        <w:t>mm</w:t>
      </w:r>
      <w:r>
        <w:rPr>
          <w:szCs w:val="21"/>
        </w:rPr>
        <w:t>千分尺，在重复性条件下，在</w:t>
      </w:r>
      <w:r>
        <w:rPr>
          <w:rFonts w:hint="eastAsia"/>
          <w:szCs w:val="21"/>
        </w:rPr>
        <w:t>120.48</w:t>
      </w:r>
      <w:r>
        <w:rPr>
          <w:szCs w:val="21"/>
        </w:rPr>
        <w:t xml:space="preserve"> mm</w:t>
      </w:r>
      <w:r>
        <w:rPr>
          <w:szCs w:val="21"/>
        </w:rPr>
        <w:t>处对量块连续校准</w:t>
      </w:r>
      <w:r>
        <w:rPr>
          <w:rFonts w:ascii="宋体" w:hAnsi="宋体" w:hint="eastAsia"/>
          <w:sz w:val="24"/>
        </w:rPr>
        <w:t>重复测量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次，</w:t>
      </w:r>
    </w:p>
    <w:p w:rsidR="007254DD" w:rsidRDefault="00F82EF2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测得结果（</w:t>
      </w:r>
      <w:r>
        <w:rPr>
          <w:rFonts w:ascii="宋体" w:hAnsi="宋体" w:hint="eastAsia"/>
          <w:sz w:val="24"/>
        </w:rPr>
        <w:t>mm</w:t>
      </w:r>
      <w:r>
        <w:rPr>
          <w:rFonts w:ascii="宋体" w:hAnsi="宋体" w:hint="eastAsia"/>
          <w:sz w:val="24"/>
        </w:rPr>
        <w:t>）</w:t>
      </w:r>
    </w:p>
    <w:p w:rsidR="007254DD" w:rsidRDefault="00C631D3">
      <w:pPr>
        <w:tabs>
          <w:tab w:val="left" w:pos="840"/>
        </w:tabs>
        <w:adjustRightInd w:val="0"/>
        <w:snapToGrid w:val="0"/>
        <w:ind w:firstLine="480"/>
        <w:rPr>
          <w:rFonts w:ascii="宋体"/>
          <w:szCs w:val="21"/>
        </w:rPr>
      </w:pPr>
      <w:r w:rsidRPr="00C631D3">
        <w:rPr>
          <w:rFonts w:ascii="宋体" w:hAnsi="宋体" w:hint="eastAsia"/>
          <w:position w:val="-12"/>
          <w:szCs w:val="21"/>
        </w:rPr>
        <w:object w:dxaOrig="240" w:dyaOrig="360">
          <v:shape id="_x0000_i1026" type="#_x0000_t75" style="width:12pt;height:18pt" o:ole="">
            <v:imagedata r:id="rId8" o:title=""/>
          </v:shape>
          <o:OLEObject Type="Embed" ProgID="Equation.3" ShapeID="_x0000_i1026" DrawAspect="Content" ObjectID="_1726419696" r:id="rId9"/>
        </w:object>
      </w:r>
      <w:r w:rsidR="00F82EF2">
        <w:rPr>
          <w:rFonts w:ascii="宋体" w:hAnsi="宋体" w:hint="eastAsia"/>
          <w:szCs w:val="21"/>
        </w:rPr>
        <w:t>：</w:t>
      </w:r>
      <w:r w:rsidR="00F82EF2">
        <w:rPr>
          <w:rFonts w:hint="eastAsia"/>
          <w:szCs w:val="21"/>
        </w:rPr>
        <w:t>120.481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120.479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120.481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120.480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120.480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120.482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120.481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120.480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120.480</w:t>
      </w:r>
      <w:r w:rsidR="00F82EF2">
        <w:rPr>
          <w:szCs w:val="21"/>
        </w:rPr>
        <w:t>、</w:t>
      </w:r>
      <w:r w:rsidR="00F82EF2">
        <w:rPr>
          <w:rFonts w:hint="eastAsia"/>
          <w:szCs w:val="21"/>
        </w:rPr>
        <w:t>120.481</w:t>
      </w:r>
    </w:p>
    <w:p w:rsidR="007254DD" w:rsidRDefault="00C631D3">
      <w:pPr>
        <w:ind w:firstLineChars="200" w:firstLine="56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24"/>
          <w:sz w:val="28"/>
          <w:szCs w:val="28"/>
        </w:rPr>
        <w:object w:dxaOrig="1280" w:dyaOrig="620">
          <v:shape id="_x0000_i1027" type="#_x0000_t75" style="width:64pt;height:31pt" o:ole="">
            <v:imagedata r:id="rId10" o:title=""/>
          </v:shape>
          <o:OLEObject Type="Embed" ProgID="Equation.3" ShapeID="_x0000_i1027" DrawAspect="Content" ObjectID="_1726419697" r:id="rId11"/>
        </w:object>
      </w:r>
      <w:r w:rsidR="00F82EF2">
        <w:rPr>
          <w:rFonts w:hint="eastAsia"/>
          <w:szCs w:val="21"/>
        </w:rPr>
        <w:t>120.481</w:t>
      </w:r>
      <w:r w:rsidR="00F82EF2">
        <w:rPr>
          <w:szCs w:val="21"/>
        </w:rPr>
        <w:t xml:space="preserve"> mm</w:t>
      </w:r>
    </w:p>
    <w:p w:rsidR="007254DD" w:rsidRDefault="00F82EF2">
      <w:pPr>
        <w:pStyle w:val="a4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7254DD" w:rsidRDefault="00C631D3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24"/>
          <w:sz w:val="28"/>
          <w:szCs w:val="28"/>
        </w:rPr>
        <w:object w:dxaOrig="1920" w:dyaOrig="620">
          <v:shape id="_x0000_i1028" type="#_x0000_t75" style="width:96pt;height:31pt" o:ole="">
            <v:imagedata r:id="rId12" o:title=""/>
          </v:shape>
          <o:OLEObject Type="Embed" ProgID="Equation.3" ShapeID="_x0000_i1028" DrawAspect="Content" ObjectID="_1726419698" r:id="rId13"/>
        </w:object>
      </w:r>
      <w:r w:rsidRPr="00C631D3">
        <w:rPr>
          <w:rFonts w:ascii="宋体" w:hAnsi="宋体" w:hint="eastAsia"/>
          <w:position w:val="-24"/>
          <w:sz w:val="28"/>
          <w:szCs w:val="28"/>
        </w:rPr>
        <w:object w:dxaOrig="660" w:dyaOrig="620">
          <v:shape id="_x0000_i1029" type="#_x0000_t75" style="width:33pt;height:31pt" o:ole="">
            <v:imagedata r:id="rId14" o:title=""/>
          </v:shape>
          <o:OLEObject Type="Embed" ProgID="Equation.3" ShapeID="_x0000_i1029" DrawAspect="Content" ObjectID="_1726419699" r:id="rId15"/>
        </w:object>
      </w:r>
    </w:p>
    <w:p w:rsidR="007254DD" w:rsidRDefault="00C631D3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0" type="#_x0000_t75" style="width:63pt;height:18pt" o:ole="">
            <v:imagedata r:id="rId16" o:title=""/>
          </v:shape>
          <o:OLEObject Type="Embed" ProgID="Equation.3" ShapeID="_x0000_i1030" DrawAspect="Content" ObjectID="_1726419700" r:id="rId17"/>
        </w:object>
      </w:r>
    </w:p>
    <w:p w:rsidR="007254DD" w:rsidRDefault="00F82EF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7254DD" w:rsidRDefault="00F82EF2">
      <w:pPr>
        <w:adjustRightInd w:val="0"/>
        <w:snapToGrid w:val="0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测量读数值的不确定</w:t>
      </w:r>
      <w:r w:rsidR="00C631D3" w:rsidRPr="00C631D3">
        <w:rPr>
          <w:rFonts w:ascii="宋体" w:hAnsi="宋体" w:hint="eastAsia"/>
          <w:position w:val="-10"/>
          <w:sz w:val="24"/>
        </w:rPr>
        <w:object w:dxaOrig="500" w:dyaOrig="310">
          <v:shape id="_x0000_i1031" type="#_x0000_t75" style="width:25pt;height:15.5pt" o:ole="">
            <v:imagedata r:id="rId18" o:title=""/>
          </v:shape>
          <o:OLEObject Type="Embed" ProgID="Equation.3" ShapeID="_x0000_i1031" DrawAspect="Content" ObjectID="_1726419701" r:id="rId19"/>
        </w:object>
      </w:r>
      <w:r>
        <w:rPr>
          <w:rFonts w:ascii="宋体" w:hAnsi="宋体" w:hint="eastAsia"/>
          <w:sz w:val="24"/>
        </w:rPr>
        <w:t>包括测量重复性引入的不确定度</w:t>
      </w:r>
      <w:r w:rsidR="00C631D3" w:rsidRPr="00C631D3">
        <w:rPr>
          <w:rFonts w:ascii="宋体" w:hAnsi="宋体" w:hint="eastAsia"/>
          <w:position w:val="-10"/>
          <w:sz w:val="24"/>
        </w:rPr>
        <w:object w:dxaOrig="570" w:dyaOrig="360">
          <v:shape id="_x0000_i1032" type="#_x0000_t75" style="width:28.5pt;height:18pt" o:ole="">
            <v:imagedata r:id="rId20" o:title=""/>
          </v:shape>
          <o:OLEObject Type="Embed" ProgID="Equation.3" ShapeID="_x0000_i1032" DrawAspect="Content" ObjectID="_1726419702" r:id="rId21"/>
        </w:object>
      </w:r>
      <w:r>
        <w:rPr>
          <w:rFonts w:ascii="宋体" w:hAnsi="宋体" w:hint="eastAsia"/>
          <w:sz w:val="24"/>
        </w:rPr>
        <w:t>和</w:t>
      </w:r>
      <w:r>
        <w:rPr>
          <w:szCs w:val="21"/>
        </w:rPr>
        <w:t>外径千分尺</w:t>
      </w:r>
      <w:r>
        <w:rPr>
          <w:rFonts w:ascii="宋体" w:hAnsi="宋体" w:hint="eastAsia"/>
          <w:sz w:val="24"/>
        </w:rPr>
        <w:t>最大允差引入的不确定度</w:t>
      </w:r>
      <w:r w:rsidR="00C631D3" w:rsidRPr="00C631D3">
        <w:rPr>
          <w:rFonts w:ascii="宋体" w:hAnsi="宋体" w:hint="eastAsia"/>
          <w:position w:val="-10"/>
          <w:sz w:val="28"/>
          <w:szCs w:val="28"/>
        </w:rPr>
        <w:object w:dxaOrig="590" w:dyaOrig="350">
          <v:shape id="_x0000_i1033" type="#_x0000_t75" style="width:29.5pt;height:17.5pt" o:ole="">
            <v:imagedata r:id="rId22" o:title=""/>
          </v:shape>
          <o:OLEObject Type="Embed" ProgID="Equation.3" ShapeID="_x0000_i1033" DrawAspect="Content" ObjectID="_1726419703" r:id="rId23"/>
        </w:object>
      </w:r>
    </w:p>
    <w:p w:rsidR="007254DD" w:rsidRDefault="00F82EF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4.1</w:t>
      </w:r>
      <w:r>
        <w:rPr>
          <w:rFonts w:ascii="宋体" w:hAnsi="宋体" w:hint="eastAsia"/>
          <w:sz w:val="24"/>
        </w:rPr>
        <w:t>重复性引入的不确定度</w:t>
      </w:r>
      <w:r w:rsidR="00C631D3" w:rsidRPr="00C631D3">
        <w:rPr>
          <w:rFonts w:ascii="宋体" w:hAnsi="宋体" w:hint="eastAsia"/>
          <w:position w:val="-10"/>
          <w:sz w:val="28"/>
          <w:szCs w:val="28"/>
        </w:rPr>
        <w:object w:dxaOrig="570" w:dyaOrig="360">
          <v:shape id="_x0000_i1034" type="#_x0000_t75" style="width:28.5pt;height:18pt" o:ole="">
            <v:imagedata r:id="rId24" o:title=""/>
          </v:shape>
          <o:OLEObject Type="Embed" ProgID="Equation.3" ShapeID="_x0000_i1034" DrawAspect="Content" ObjectID="_1726419704" r:id="rId25"/>
        </w:object>
      </w:r>
    </w:p>
    <w:p w:rsidR="007254DD" w:rsidRDefault="00C631D3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C631D3">
        <w:rPr>
          <w:rFonts w:ascii="宋体"/>
          <w:position w:val="-30"/>
          <w:sz w:val="28"/>
        </w:rPr>
        <w:object w:dxaOrig="3260" w:dyaOrig="1080">
          <v:shape id="_x0000_i1035" type="#_x0000_t75" style="width:163pt;height:54pt" o:ole="">
            <v:imagedata r:id="rId26" o:title=""/>
          </v:shape>
          <o:OLEObject Type="Embed" ProgID="Equation.3" ShapeID="_x0000_i1035" DrawAspect="Content" ObjectID="_1726419705" r:id="rId27"/>
        </w:object>
      </w:r>
    </w:p>
    <w:p w:rsidR="007254DD" w:rsidRDefault="00F82EF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4.2</w:t>
      </w:r>
      <w:r>
        <w:rPr>
          <w:rFonts w:ascii="宋体" w:hAnsi="宋体"/>
          <w:sz w:val="24"/>
        </w:rPr>
        <w:t>外径千分尺</w:t>
      </w:r>
      <w:r>
        <w:rPr>
          <w:rFonts w:ascii="宋体" w:hAnsi="宋体" w:hint="eastAsia"/>
          <w:sz w:val="24"/>
        </w:rPr>
        <w:t>最大允许</w:t>
      </w:r>
      <w:r>
        <w:rPr>
          <w:rFonts w:ascii="宋体" w:hAnsi="宋体"/>
          <w:sz w:val="24"/>
        </w:rPr>
        <w:t>误差</w:t>
      </w:r>
      <w:r>
        <w:rPr>
          <w:rFonts w:ascii="宋体" w:hAnsi="宋体" w:hint="eastAsia"/>
          <w:sz w:val="24"/>
        </w:rPr>
        <w:t>影响的不确定度</w:t>
      </w:r>
      <w:r w:rsidR="00C631D3" w:rsidRPr="00C631D3">
        <w:rPr>
          <w:rFonts w:ascii="宋体" w:hAnsi="宋体" w:hint="eastAsia"/>
          <w:position w:val="-10"/>
          <w:sz w:val="28"/>
          <w:szCs w:val="28"/>
        </w:rPr>
        <w:object w:dxaOrig="590" w:dyaOrig="350">
          <v:shape id="_x0000_i1036" type="#_x0000_t75" style="width:29.5pt;height:17.5pt" o:ole="">
            <v:imagedata r:id="rId22" o:title=""/>
          </v:shape>
          <o:OLEObject Type="Embed" ProgID="Equation.3" ShapeID="_x0000_i1036" DrawAspect="Content" ObjectID="_1726419706" r:id="rId28"/>
        </w:object>
      </w:r>
    </w:p>
    <w:p w:rsidR="007254DD" w:rsidRDefault="00F82EF2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外径千分尺</w:t>
      </w:r>
      <w:r>
        <w:rPr>
          <w:rFonts w:ascii="宋体" w:hAnsi="宋体" w:hint="eastAsia"/>
          <w:sz w:val="24"/>
        </w:rPr>
        <w:t>最大允许误差为</w:t>
      </w:r>
      <w:r>
        <w:rPr>
          <w:rFonts w:ascii="Times New Roman" w:hAnsi="Times New Roman"/>
          <w:sz w:val="24"/>
        </w:rPr>
        <w:t>±0.006mm,</w:t>
      </w:r>
      <w:r>
        <w:rPr>
          <w:rFonts w:ascii="宋体" w:hAnsi="宋体" w:hint="eastAsia"/>
          <w:sz w:val="24"/>
        </w:rPr>
        <w:t>估计均匀分布</w:t>
      </w:r>
    </w:p>
    <w:p w:rsidR="007254DD" w:rsidRDefault="00C631D3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C631D3">
        <w:rPr>
          <w:rFonts w:ascii="宋体" w:hAnsi="宋体" w:hint="eastAsia"/>
          <w:position w:val="-28"/>
          <w:sz w:val="24"/>
        </w:rPr>
        <w:object w:dxaOrig="2580" w:dyaOrig="660">
          <v:shape id="_x0000_i1037" type="#_x0000_t75" style="width:129pt;height:33pt" o:ole="">
            <v:imagedata r:id="rId29" o:title=""/>
          </v:shape>
          <o:OLEObject Type="Embed" ProgID="Equation.3" ShapeID="_x0000_i1037" DrawAspect="Content" ObjectID="_1726419707" r:id="rId30"/>
        </w:object>
      </w:r>
    </w:p>
    <w:p w:rsidR="007254DD" w:rsidRDefault="00F82EF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4.3</w:t>
      </w:r>
      <w:r>
        <w:rPr>
          <w:rFonts w:ascii="宋体" w:hAnsi="宋体" w:hint="eastAsia"/>
          <w:sz w:val="24"/>
        </w:rPr>
        <w:t>测量读数值的不确定</w:t>
      </w:r>
      <w:r w:rsidR="00C631D3" w:rsidRPr="00C631D3">
        <w:rPr>
          <w:rFonts w:ascii="宋体" w:hAnsi="宋体" w:hint="eastAsia"/>
          <w:position w:val="-10"/>
          <w:sz w:val="28"/>
          <w:szCs w:val="28"/>
        </w:rPr>
        <w:object w:dxaOrig="500" w:dyaOrig="310">
          <v:shape id="_x0000_i1038" type="#_x0000_t75" style="width:25pt;height:15.5pt" o:ole="">
            <v:imagedata r:id="rId31" o:title=""/>
          </v:shape>
          <o:OLEObject Type="Embed" ProgID="Equation.3" ShapeID="_x0000_i1038" DrawAspect="Content" ObjectID="_1726419708" r:id="rId32"/>
        </w:object>
      </w:r>
    </w:p>
    <w:p w:rsidR="007254DD" w:rsidRDefault="00C631D3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12"/>
          <w:sz w:val="28"/>
          <w:szCs w:val="28"/>
        </w:rPr>
        <w:object w:dxaOrig="2940" w:dyaOrig="440">
          <v:shape id="_x0000_i1039" type="#_x0000_t75" style="width:147pt;height:22pt" o:ole="">
            <v:imagedata r:id="rId33" o:title=""/>
          </v:shape>
          <o:OLEObject Type="Embed" ProgID="Equation.3" ShapeID="_x0000_i1039" DrawAspect="Content" ObjectID="_1726419709" r:id="rId34"/>
        </w:object>
      </w:r>
    </w:p>
    <w:p w:rsidR="007254DD" w:rsidRDefault="00F82EF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7254DD" w:rsidRDefault="00C631D3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12"/>
          <w:sz w:val="28"/>
          <w:szCs w:val="28"/>
        </w:rPr>
        <w:object w:dxaOrig="2040" w:dyaOrig="360">
          <v:shape id="_x0000_i1040" type="#_x0000_t75" style="width:102pt;height:18pt" o:ole="">
            <v:imagedata r:id="rId35" o:title=""/>
          </v:shape>
          <o:OLEObject Type="Embed" ProgID="Equation.3" ShapeID="_x0000_i1040" DrawAspect="Content" ObjectID="_1726419710" r:id="rId36"/>
        </w:object>
      </w:r>
    </w:p>
    <w:p w:rsidR="007254DD" w:rsidRDefault="00F82EF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．扩展不确定度</w:t>
      </w:r>
    </w:p>
    <w:p w:rsidR="007254DD" w:rsidRDefault="00C631D3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C631D3">
        <w:rPr>
          <w:rFonts w:ascii="宋体" w:hAnsi="宋体" w:hint="eastAsia"/>
          <w:position w:val="-12"/>
          <w:sz w:val="28"/>
          <w:szCs w:val="28"/>
        </w:rPr>
        <w:object w:dxaOrig="3460" w:dyaOrig="360">
          <v:shape id="_x0000_i1041" type="#_x0000_t75" style="width:173pt;height:18pt" o:ole="">
            <v:imagedata r:id="rId37" o:title=""/>
          </v:shape>
          <o:OLEObject Type="Embed" ProgID="Equation.3" ShapeID="_x0000_i1041" DrawAspect="Content" ObjectID="_1726419711" r:id="rId38"/>
        </w:object>
      </w:r>
    </w:p>
    <w:p w:rsidR="007254DD" w:rsidRDefault="00972013">
      <w:pPr>
        <w:adjustRightInd w:val="0"/>
        <w:snapToGrid w:val="0"/>
        <w:ind w:firstLineChars="200" w:firstLine="480"/>
        <w:rPr>
          <w:rFonts w:ascii="宋体"/>
          <w:sz w:val="28"/>
          <w:szCs w:val="28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177800</wp:posOffset>
            </wp:positionV>
            <wp:extent cx="609600" cy="323850"/>
            <wp:effectExtent l="19050" t="0" r="0" b="0"/>
            <wp:wrapNone/>
            <wp:docPr id="3" name="图片 2" descr="陈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玲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EF2">
        <w:rPr>
          <w:rFonts w:ascii="宋体" w:hAnsi="宋体" w:hint="eastAsia"/>
          <w:sz w:val="24"/>
        </w:rPr>
        <w:t>取</w:t>
      </w:r>
      <w:r w:rsidR="00C631D3" w:rsidRPr="00C631D3">
        <w:rPr>
          <w:rFonts w:ascii="宋体" w:hAnsi="宋体" w:hint="eastAsia"/>
          <w:position w:val="-10"/>
          <w:sz w:val="28"/>
          <w:szCs w:val="28"/>
        </w:rPr>
        <w:object w:dxaOrig="2190" w:dyaOrig="330">
          <v:shape id="_x0000_i1042" type="#_x0000_t75" style="width:109.5pt;height:16.5pt" o:ole="">
            <v:imagedata r:id="rId40" o:title=""/>
          </v:shape>
          <o:OLEObject Type="Embed" ProgID="Equation.3" ShapeID="_x0000_i1042" DrawAspect="Content" ObjectID="_1726419712" r:id="rId41"/>
        </w:object>
      </w:r>
      <w:r w:rsidR="00C631D3" w:rsidRPr="00C631D3">
        <w:rPr>
          <w:rFonts w:ascii="宋体" w:hAnsi="宋体" w:hint="eastAsia"/>
          <w:position w:val="-6"/>
          <w:sz w:val="28"/>
          <w:szCs w:val="28"/>
        </w:rPr>
        <w:object w:dxaOrig="580" w:dyaOrig="330">
          <v:shape id="_x0000_i1043" type="#_x0000_t75" style="width:29pt;height:16.5pt" o:ole="">
            <v:imagedata r:id="rId42" o:title=""/>
          </v:shape>
          <o:OLEObject Type="Embed" ProgID="Equation.3" ShapeID="_x0000_i1043" DrawAspect="Content" ObjectID="_1726419713" r:id="rId43"/>
        </w:object>
      </w:r>
    </w:p>
    <w:p w:rsidR="007254DD" w:rsidRDefault="00F82EF2" w:rsidP="0064315B"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结果报告：</w:t>
      </w:r>
      <m:oMath>
        <m:r>
          <w:rPr>
            <w:rFonts w:ascii="Cambria Math" w:hAnsi="宋体"/>
            <w:sz w:val="24"/>
          </w:rPr>
          <m:t>Y</m:t>
        </m:r>
        <m:r>
          <w:rPr>
            <w:rFonts w:ascii="Cambria Math" w:hAnsi="宋体"/>
            <w:sz w:val="24"/>
          </w:rPr>
          <m:t>=</m:t>
        </m:r>
        <m:r>
          <w:rPr>
            <w:rFonts w:ascii="Cambria Math" w:hAnsi="宋体"/>
            <w:sz w:val="24"/>
          </w:rPr>
          <m:t>y</m:t>
        </m:r>
        <m:r>
          <w:rPr>
            <w:rFonts w:ascii="Cambria Math" w:hAnsi="宋体"/>
            <w:sz w:val="24"/>
          </w:rPr>
          <m:t>±</m:t>
        </m:r>
        <m:r>
          <w:rPr>
            <w:rFonts w:ascii="Cambria Math" w:hAnsi="宋体"/>
            <w:sz w:val="24"/>
          </w:rPr>
          <m:t>U</m:t>
        </m:r>
        <m:r>
          <w:rPr>
            <w:rFonts w:ascii="Cambria Math" w:hAnsi="宋体"/>
            <w:sz w:val="24"/>
          </w:rPr>
          <m:t>(</m:t>
        </m:r>
        <m:r>
          <w:rPr>
            <w:rFonts w:ascii="Cambria Math" w:hAnsi="宋体"/>
            <w:sz w:val="24"/>
          </w:rPr>
          <m:t>y</m:t>
        </m:r>
        <m:r>
          <w:rPr>
            <w:rFonts w:ascii="Cambria Math" w:hAnsi="宋体"/>
            <w:sz w:val="24"/>
          </w:rPr>
          <m:t>)=(</m:t>
        </m:r>
        <m:r>
          <m:rPr>
            <m:nor/>
          </m:rPr>
          <w:rPr>
            <w:rFonts w:ascii="Cambria Math" w:hAnsi="宋体"/>
            <w:sz w:val="24"/>
          </w:rPr>
          <m:t>120.481</m:t>
        </m:r>
        <m:r>
          <m:rPr>
            <m:sty m:val="p"/>
          </m:rPr>
          <w:rPr>
            <w:rFonts w:ascii="Cambria Math" w:hAnsi="宋体"/>
            <w:sz w:val="24"/>
          </w:rPr>
          <m:t>±</m:t>
        </m:r>
        <m:r>
          <m:rPr>
            <m:sty m:val="p"/>
          </m:rPr>
          <w:rPr>
            <w:rFonts w:ascii="Cambria Math" w:hAnsi="宋体"/>
            <w:sz w:val="24"/>
          </w:rPr>
          <m:t>0.006)</m:t>
        </m:r>
        <m:r>
          <w:rPr>
            <w:rFonts w:ascii="Cambria Math" w:hAnsi="宋体"/>
            <w:sz w:val="24"/>
          </w:rPr>
          <m:t>mm</m:t>
        </m:r>
      </m:oMath>
      <w:r w:rsidR="00C631D3" w:rsidRPr="00C631D3">
        <w:rPr>
          <w:rFonts w:ascii="宋体" w:hAnsi="宋体" w:hint="eastAsia"/>
          <w:position w:val="-6"/>
          <w:szCs w:val="21"/>
        </w:rPr>
        <w:object w:dxaOrig="720" w:dyaOrig="330">
          <v:shape id="_x0000_i1044" type="#_x0000_t75" style="width:36pt;height:16.5pt" o:ole="">
            <v:imagedata r:id="rId44" o:title=""/>
          </v:shape>
          <o:OLEObject Type="Embed" ProgID="Equation.3" ShapeID="_x0000_i1044" DrawAspect="Content" ObjectID="_1726419714" r:id="rId45"/>
        </w:object>
      </w:r>
    </w:p>
    <w:sectPr w:rsidR="007254DD" w:rsidSect="00C631D3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F2" w:rsidRDefault="00F82EF2" w:rsidP="00972013">
      <w:r>
        <w:separator/>
      </w:r>
    </w:p>
  </w:endnote>
  <w:endnote w:type="continuationSeparator" w:id="1">
    <w:p w:rsidR="00F82EF2" w:rsidRDefault="00F82EF2" w:rsidP="0097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F2" w:rsidRDefault="00F82EF2" w:rsidP="00972013">
      <w:r>
        <w:separator/>
      </w:r>
    </w:p>
  </w:footnote>
  <w:footnote w:type="continuationSeparator" w:id="1">
    <w:p w:rsidR="00F82EF2" w:rsidRDefault="00F82EF2" w:rsidP="0097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4MmZiZjdmNDEzZGNiN2M3YjM1ZDllYWU0NDhlOTYifQ=="/>
  </w:docVars>
  <w:rsids>
    <w:rsidRoot w:val="0A4002FF"/>
    <w:rsid w:val="000265DF"/>
    <w:rsid w:val="000509C1"/>
    <w:rsid w:val="000E0130"/>
    <w:rsid w:val="000F159D"/>
    <w:rsid w:val="000F683F"/>
    <w:rsid w:val="00101169"/>
    <w:rsid w:val="00114E27"/>
    <w:rsid w:val="001170A7"/>
    <w:rsid w:val="0017518F"/>
    <w:rsid w:val="00186461"/>
    <w:rsid w:val="00186FDF"/>
    <w:rsid w:val="00296832"/>
    <w:rsid w:val="002B7DDD"/>
    <w:rsid w:val="002F7DC5"/>
    <w:rsid w:val="003144F9"/>
    <w:rsid w:val="003938AD"/>
    <w:rsid w:val="003D0A1E"/>
    <w:rsid w:val="00400756"/>
    <w:rsid w:val="004252C8"/>
    <w:rsid w:val="005C11C5"/>
    <w:rsid w:val="00601112"/>
    <w:rsid w:val="00603BCD"/>
    <w:rsid w:val="006267BC"/>
    <w:rsid w:val="0064315B"/>
    <w:rsid w:val="00646533"/>
    <w:rsid w:val="007254DD"/>
    <w:rsid w:val="00754B55"/>
    <w:rsid w:val="00835648"/>
    <w:rsid w:val="0090347D"/>
    <w:rsid w:val="00922B82"/>
    <w:rsid w:val="0093232B"/>
    <w:rsid w:val="00972013"/>
    <w:rsid w:val="009725DB"/>
    <w:rsid w:val="009B2D31"/>
    <w:rsid w:val="00A11CB8"/>
    <w:rsid w:val="00A251F2"/>
    <w:rsid w:val="00A35FFC"/>
    <w:rsid w:val="00A45E7F"/>
    <w:rsid w:val="00A64BD3"/>
    <w:rsid w:val="00A95518"/>
    <w:rsid w:val="00AF7433"/>
    <w:rsid w:val="00B07B76"/>
    <w:rsid w:val="00B16D0B"/>
    <w:rsid w:val="00B255CD"/>
    <w:rsid w:val="00B27F67"/>
    <w:rsid w:val="00B46B76"/>
    <w:rsid w:val="00B64EFD"/>
    <w:rsid w:val="00B81169"/>
    <w:rsid w:val="00B85FA6"/>
    <w:rsid w:val="00C02AC2"/>
    <w:rsid w:val="00C11E62"/>
    <w:rsid w:val="00C631D3"/>
    <w:rsid w:val="00DE4D76"/>
    <w:rsid w:val="00DF031D"/>
    <w:rsid w:val="00E21702"/>
    <w:rsid w:val="00E7057A"/>
    <w:rsid w:val="00E73A9A"/>
    <w:rsid w:val="00EC463F"/>
    <w:rsid w:val="00EE5176"/>
    <w:rsid w:val="00F12CE3"/>
    <w:rsid w:val="00F45A20"/>
    <w:rsid w:val="00F67F10"/>
    <w:rsid w:val="00F82EF2"/>
    <w:rsid w:val="00F83A14"/>
    <w:rsid w:val="00F943FD"/>
    <w:rsid w:val="00FA1816"/>
    <w:rsid w:val="00FB060A"/>
    <w:rsid w:val="00FE0E57"/>
    <w:rsid w:val="046413A6"/>
    <w:rsid w:val="07EA1A6A"/>
    <w:rsid w:val="0A4002FF"/>
    <w:rsid w:val="11010035"/>
    <w:rsid w:val="2B640B81"/>
    <w:rsid w:val="2DB46DED"/>
    <w:rsid w:val="327B6149"/>
    <w:rsid w:val="3A190A5E"/>
    <w:rsid w:val="3AAD74C1"/>
    <w:rsid w:val="3CD5258D"/>
    <w:rsid w:val="41764C66"/>
    <w:rsid w:val="503E5743"/>
    <w:rsid w:val="569D0E7B"/>
    <w:rsid w:val="570575E6"/>
    <w:rsid w:val="60C91222"/>
    <w:rsid w:val="61B0344D"/>
    <w:rsid w:val="69FA6CD7"/>
    <w:rsid w:val="6AC40F07"/>
    <w:rsid w:val="6AF52B21"/>
    <w:rsid w:val="7C0610EC"/>
    <w:rsid w:val="7DA2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/>
    <w:lsdException w:name="header" w:qFormat="1"/>
    <w:lsdException w:name="footer" w:qFormat="1"/>
    <w:lsdException w:name="caption" w:locked="1" w:uiPriority="0" w:qFormat="1"/>
    <w:lsdException w:name="annotation reference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631D3"/>
    <w:pPr>
      <w:jc w:val="left"/>
    </w:pPr>
  </w:style>
  <w:style w:type="paragraph" w:styleId="a4">
    <w:name w:val="Body Text Indent"/>
    <w:basedOn w:val="a"/>
    <w:link w:val="Char"/>
    <w:uiPriority w:val="99"/>
    <w:qFormat/>
    <w:rsid w:val="00C631D3"/>
    <w:pPr>
      <w:spacing w:line="480" w:lineRule="auto"/>
      <w:ind w:firstLineChars="262" w:firstLine="629"/>
    </w:pPr>
    <w:rPr>
      <w:sz w:val="24"/>
      <w:szCs w:val="20"/>
    </w:rPr>
  </w:style>
  <w:style w:type="paragraph" w:styleId="a5">
    <w:name w:val="Balloon Text"/>
    <w:basedOn w:val="a"/>
    <w:link w:val="Char0"/>
    <w:uiPriority w:val="99"/>
    <w:semiHidden/>
    <w:qFormat/>
    <w:rsid w:val="00C631D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C63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C6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semiHidden/>
    <w:qFormat/>
    <w:rsid w:val="00C631D3"/>
    <w:rPr>
      <w:sz w:val="21"/>
      <w:szCs w:val="21"/>
    </w:rPr>
  </w:style>
  <w:style w:type="character" w:customStyle="1" w:styleId="Char">
    <w:name w:val="正文文本缩进 Char"/>
    <w:basedOn w:val="a0"/>
    <w:link w:val="a4"/>
    <w:uiPriority w:val="99"/>
    <w:semiHidden/>
    <w:qFormat/>
    <w:locked/>
    <w:rsid w:val="00C631D3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C631D3"/>
    <w:rPr>
      <w:rFonts w:cs="Times New Roman"/>
      <w:sz w:val="2"/>
    </w:rPr>
  </w:style>
  <w:style w:type="character" w:customStyle="1" w:styleId="Char2">
    <w:name w:val="页眉 Char"/>
    <w:basedOn w:val="a0"/>
    <w:link w:val="a7"/>
    <w:uiPriority w:val="99"/>
    <w:semiHidden/>
    <w:qFormat/>
    <w:rsid w:val="00C631D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C63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11</cp:revision>
  <cp:lastPrinted>2022-09-18T07:21:00Z</cp:lastPrinted>
  <dcterms:created xsi:type="dcterms:W3CDTF">2018-07-01T04:27:00Z</dcterms:created>
  <dcterms:modified xsi:type="dcterms:W3CDTF">2022-10-04T12:15:00Z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B13194A13E1D4C6C971FB760D1176024</vt:lpwstr>
  </property>
</Properties>
</file>