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0380-2020-QEO-2022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重庆太湖锅炉股份有限公司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重庆太湖锅炉股份有限公司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重庆市长寿区齐心西路1号附1号厂房</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重庆市九龙坡区科园四路288号申继基会展国际写字楼7-5</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汪亚平</w:t>
            </w:r>
            <w:bookmarkEnd w:id="10"/>
          </w:p>
        </w:tc>
        <w:tc>
          <w:tcPr>
            <w:tcW w:w="1313" w:type="dxa"/>
            <w:vAlign w:val="center"/>
          </w:tcPr>
          <w:p>
            <w:r>
              <w:rPr>
                <w:rFonts w:hint="eastAsia"/>
              </w:rPr>
              <w:t>电话.</w:t>
            </w:r>
          </w:p>
        </w:tc>
        <w:tc>
          <w:tcPr>
            <w:tcW w:w="2180" w:type="dxa"/>
            <w:vAlign w:val="center"/>
          </w:tcPr>
          <w:p>
            <w:bookmarkStart w:id="11" w:name="联系人电话"/>
            <w:r>
              <w:t>023-68886256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汪立</w:t>
            </w:r>
            <w:bookmarkEnd w:id="13"/>
          </w:p>
        </w:tc>
        <w:tc>
          <w:tcPr>
            <w:tcW w:w="1313" w:type="dxa"/>
            <w:vAlign w:val="center"/>
          </w:tcPr>
          <w:p>
            <w:r>
              <w:rPr>
                <w:rFonts w:hint="eastAsia"/>
              </w:rPr>
              <w:t>管理者代表</w:t>
            </w:r>
          </w:p>
        </w:tc>
        <w:tc>
          <w:tcPr>
            <w:tcW w:w="2180" w:type="dxa"/>
          </w:tcPr>
          <w:p>
            <w:bookmarkStart w:id="14" w:name="管理者代表"/>
            <w:r>
              <w:t>汪亚平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市场需求－－合同评审－－合同签订－－采购产品－销售产品－－顾客验收。</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2022年09月22日 上午至2022年09月22日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重庆市九龙坡区科园四路288号申继基会展国际写字楼7-5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Q：锅炉、换热器、压力容器、水处理设备的销售</w:t>
            </w:r>
          </w:p>
          <w:p>
            <w:r>
              <w:t>E：锅炉、换热器、压力容器、水处理设备的销售所涉及场所的相关环境管理活动</w:t>
            </w:r>
          </w:p>
          <w:p>
            <w:r>
              <w:t>O：锅炉、换热器、压力容器、水处理设备的销售所涉及场所的相关职业健康安全管理活动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Q：29.10.07</w:t>
            </w:r>
          </w:p>
          <w:p>
            <w:r>
              <w:t>E：29.10.07</w:t>
            </w:r>
          </w:p>
          <w:p>
            <w:r>
              <w:t>O：29.10.07</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pPr>
              <w:rPr>
                <w:rFonts w:ascii="Times New Roman" w:hAnsi="Times New Roman" w:eastAsia="宋体" w:cs="Times New Roman"/>
                <w:color w:val="FF0000"/>
                <w:kern w:val="2"/>
                <w:sz w:val="21"/>
                <w:szCs w:val="24"/>
                <w:lang w:val="en-US" w:eastAsia="zh-CN" w:bidi="ar-SA"/>
              </w:rPr>
            </w:pPr>
            <w:r>
              <w:rPr>
                <w:rFonts w:hint="eastAsia" w:eastAsia="宋体"/>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2021年3月10日</w:t>
            </w:r>
          </w:p>
          <w:p/>
        </w:tc>
        <w:tc>
          <w:tcPr>
            <w:tcW w:w="1883" w:type="dxa"/>
            <w:vAlign w:val="center"/>
          </w:tcPr>
          <w:p>
            <w:r>
              <w:rPr>
                <w:rFonts w:hint="eastAsia"/>
              </w:rPr>
              <w:t>管理体系运行已超过3个月</w:t>
            </w:r>
          </w:p>
        </w:tc>
        <w:tc>
          <w:tcPr>
            <w:tcW w:w="3215" w:type="dxa"/>
            <w:vAlign w:val="center"/>
          </w:tcPr>
          <w:p>
            <w:pPr>
              <w:rPr>
                <w:rFonts w:ascii="Times New Roman" w:hAnsi="Times New Roman" w:eastAsia="宋体" w:cs="Times New Roman"/>
                <w:kern w:val="2"/>
                <w:sz w:val="21"/>
                <w:szCs w:val="24"/>
                <w:lang w:val="en-US" w:eastAsia="zh-CN" w:bidi="ar-SA"/>
              </w:rPr>
            </w:pP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eastAsia="宋体"/>
              </w:rPr>
              <w:t xml:space="preserve">2021年10月16日 </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ascii="Times New Roman" w:hAnsi="Times New Roman" w:eastAsia="宋体" w:cs="Times New Roman"/>
                <w:kern w:val="2"/>
                <w:sz w:val="21"/>
                <w:szCs w:val="24"/>
                <w:lang w:val="en-US" w:eastAsia="zh-CN" w:bidi="ar-SA"/>
              </w:rPr>
            </w:pPr>
            <w:r>
              <w:rPr>
                <w:rFonts w:hint="eastAsia"/>
              </w:rPr>
              <w:t>有效至2023年10月19日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26"/>
        <w:gridCol w:w="2022"/>
        <w:gridCol w:w="712"/>
        <w:gridCol w:w="1588"/>
        <w:gridCol w:w="172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526" w:type="dxa"/>
            <w:shd w:val="clear" w:color="auto" w:fill="F3F3F3"/>
            <w:tcMar>
              <w:left w:w="57" w:type="dxa"/>
              <w:right w:w="57" w:type="dxa"/>
            </w:tcMar>
          </w:tcPr>
          <w:p>
            <w:r>
              <w:rPr>
                <w:rFonts w:hint="eastAsia"/>
              </w:rPr>
              <w:t>组织名称及注册场所地址</w:t>
            </w:r>
          </w:p>
        </w:tc>
        <w:tc>
          <w:tcPr>
            <w:tcW w:w="2022" w:type="dxa"/>
            <w:shd w:val="clear" w:color="auto" w:fill="F3F3F3"/>
            <w:tcMar>
              <w:left w:w="57" w:type="dxa"/>
              <w:right w:w="57" w:type="dxa"/>
            </w:tcMar>
          </w:tcPr>
          <w:p>
            <w:r>
              <w:rPr>
                <w:rFonts w:hint="eastAsia"/>
              </w:rPr>
              <w:t>经营场所的地址</w:t>
            </w:r>
          </w:p>
          <w:p>
            <w:r>
              <w:rPr>
                <w:rFonts w:hint="eastAsia"/>
              </w:rPr>
              <w:t>（多现场和临时现场）</w:t>
            </w:r>
          </w:p>
        </w:tc>
        <w:tc>
          <w:tcPr>
            <w:tcW w:w="712" w:type="dxa"/>
            <w:shd w:val="clear" w:color="auto" w:fill="F3F3F3"/>
            <w:tcMar>
              <w:left w:w="57" w:type="dxa"/>
              <w:right w:w="57" w:type="dxa"/>
            </w:tcMar>
          </w:tcPr>
          <w:p>
            <w:r>
              <w:rPr>
                <w:rFonts w:hint="eastAsia"/>
              </w:rPr>
              <w:t>员工人数</w:t>
            </w:r>
          </w:p>
        </w:tc>
        <w:tc>
          <w:tcPr>
            <w:tcW w:w="1588" w:type="dxa"/>
            <w:shd w:val="clear" w:color="auto" w:fill="F3F3F3"/>
            <w:tcMar>
              <w:left w:w="57" w:type="dxa"/>
              <w:right w:w="57" w:type="dxa"/>
            </w:tcMar>
          </w:tcPr>
          <w:p>
            <w:r>
              <w:rPr>
                <w:rFonts w:hint="eastAsia"/>
              </w:rPr>
              <w:t>审核范围（产品和过程）</w:t>
            </w:r>
          </w:p>
          <w:p/>
          <w:p/>
        </w:tc>
        <w:tc>
          <w:tcPr>
            <w:tcW w:w="172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526" w:type="dxa"/>
            <w:vAlign w:val="top"/>
          </w:tcPr>
          <w:p>
            <w:pPr>
              <w:rPr>
                <w:rFonts w:ascii="Times New Roman" w:hAnsi="Times New Roman" w:eastAsia="宋体" w:cs="Times New Roman"/>
                <w:kern w:val="2"/>
                <w:sz w:val="21"/>
                <w:szCs w:val="24"/>
                <w:lang w:val="de-DE" w:eastAsia="ja-JP" w:bidi="ar-SA"/>
              </w:rPr>
            </w:pPr>
            <w:r>
              <w:rPr>
                <w:szCs w:val="21"/>
              </w:rPr>
              <w:t>重庆太湖锅炉股份有限公司</w:t>
            </w:r>
            <w:r>
              <w:rPr>
                <w:rFonts w:hint="eastAsia"/>
                <w:szCs w:val="21"/>
              </w:rPr>
              <w:t>/</w:t>
            </w:r>
            <w:r>
              <w:rPr>
                <w:rFonts w:asciiTheme="minorEastAsia" w:hAnsiTheme="minorEastAsia" w:eastAsiaTheme="minorEastAsia"/>
                <w:sz w:val="20"/>
              </w:rPr>
              <w:t>重庆市长寿区齐心西路1号附1号厂房</w:t>
            </w:r>
          </w:p>
        </w:tc>
        <w:tc>
          <w:tcPr>
            <w:tcW w:w="2022"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重庆市九龙坡区科园四路288号申继基会展国际写字楼7-5</w:t>
            </w:r>
          </w:p>
        </w:tc>
        <w:tc>
          <w:tcPr>
            <w:tcW w:w="712" w:type="dxa"/>
            <w:vAlign w:val="center"/>
          </w:tcPr>
          <w:p>
            <w:pPr>
              <w:rPr>
                <w:rFonts w:ascii="Times New Roman" w:hAnsi="Times New Roman" w:eastAsia="宋体" w:cs="Times New Roman"/>
                <w:kern w:val="2"/>
                <w:sz w:val="21"/>
                <w:szCs w:val="24"/>
                <w:lang w:val="en-US" w:eastAsia="ja-JP" w:bidi="ar-SA"/>
              </w:rPr>
            </w:pPr>
            <w:r>
              <w:rPr>
                <w:rFonts w:hint="eastAsia"/>
              </w:rPr>
              <w:t>25</w:t>
            </w:r>
          </w:p>
        </w:tc>
        <w:tc>
          <w:tcPr>
            <w:tcW w:w="1588" w:type="dxa"/>
            <w:vAlign w:val="center"/>
          </w:tcPr>
          <w:p>
            <w:pPr>
              <w:rPr>
                <w:rFonts w:ascii="Times New Roman" w:hAnsi="Times New Roman" w:eastAsia="宋体" w:cs="Times New Roman"/>
                <w:b w:val="0"/>
                <w:bCs w:val="0"/>
                <w:kern w:val="2"/>
                <w:sz w:val="21"/>
                <w:szCs w:val="24"/>
                <w:lang w:val="en-US" w:eastAsia="ja-JP" w:bidi="ar-SA"/>
              </w:rPr>
            </w:pPr>
            <w:r>
              <w:rPr>
                <w:b w:val="0"/>
                <w:bCs w:val="0"/>
                <w:sz w:val="20"/>
              </w:rPr>
              <w:t>锅炉、换热器、压力容器、水处理设备的销售</w:t>
            </w:r>
          </w:p>
        </w:tc>
        <w:tc>
          <w:tcPr>
            <w:tcW w:w="1729" w:type="dxa"/>
            <w:vAlign w:val="center"/>
          </w:tcPr>
          <w:p>
            <w:pPr>
              <w:rPr>
                <w:rFonts w:ascii="Times New Roman" w:hAnsi="Times New Roman" w:eastAsia="宋体" w:cs="Times New Roman"/>
                <w:b w:val="0"/>
                <w:bCs w:val="0"/>
                <w:kern w:val="2"/>
                <w:sz w:val="21"/>
                <w:szCs w:val="24"/>
                <w:lang w:val="en-US" w:eastAsia="ja-JP" w:bidi="ar-SA"/>
              </w:rPr>
            </w:pPr>
            <w:r>
              <w:rPr>
                <w:rFonts w:hint="eastAsia" w:ascii="宋体" w:hAnsi="宋体"/>
                <w:b w:val="0"/>
                <w:bCs w:val="0"/>
                <w:szCs w:val="21"/>
              </w:rPr>
              <w:t>GB/T19001-2016GB/T24001-2016GB/T45001-2020</w:t>
            </w:r>
          </w:p>
        </w:tc>
        <w:tc>
          <w:tcPr>
            <w:tcW w:w="668" w:type="dxa"/>
            <w:shd w:val="clear" w:color="auto" w:fill="FFFFFF"/>
            <w:vAlign w:val="top"/>
          </w:tcPr>
          <w:p>
            <w:pPr>
              <w:rPr>
                <w:rFonts w:ascii="Times New Roman" w:hAnsi="Times New Roman" w:eastAsia="宋体" w:cs="Times New Roman"/>
                <w:b w:val="0"/>
                <w:bCs w:val="0"/>
                <w:kern w:val="2"/>
                <w:sz w:val="21"/>
                <w:szCs w:val="24"/>
                <w:lang w:val="en-US" w:eastAsia="zh-CN" w:bidi="ar-SA"/>
              </w:rPr>
            </w:pPr>
            <w:r>
              <w:rPr>
                <w:rFonts w:hint="eastAsia"/>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526" w:type="dxa"/>
            <w:vAlign w:val="center"/>
          </w:tcPr>
          <w:p>
            <w:pPr>
              <w:rPr>
                <w:lang w:eastAsia="ja-JP"/>
              </w:rPr>
            </w:pPr>
          </w:p>
        </w:tc>
        <w:tc>
          <w:tcPr>
            <w:tcW w:w="2022" w:type="dxa"/>
            <w:vAlign w:val="center"/>
          </w:tcPr>
          <w:p>
            <w:pPr>
              <w:rPr>
                <w:lang w:eastAsia="ja-JP"/>
              </w:rPr>
            </w:pPr>
          </w:p>
        </w:tc>
        <w:tc>
          <w:tcPr>
            <w:tcW w:w="712" w:type="dxa"/>
            <w:vAlign w:val="center"/>
          </w:tcPr>
          <w:p>
            <w:pPr>
              <w:rPr>
                <w:lang w:eastAsia="ja-JP"/>
              </w:rPr>
            </w:pPr>
          </w:p>
        </w:tc>
        <w:tc>
          <w:tcPr>
            <w:tcW w:w="1588" w:type="dxa"/>
            <w:vAlign w:val="center"/>
          </w:tcPr>
          <w:p>
            <w:pPr>
              <w:rPr>
                <w:lang w:eastAsia="ja-JP"/>
              </w:rPr>
            </w:pPr>
          </w:p>
        </w:tc>
        <w:tc>
          <w:tcPr>
            <w:tcW w:w="172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526" w:type="dxa"/>
            <w:vAlign w:val="center"/>
          </w:tcPr>
          <w:p>
            <w:pPr>
              <w:rPr>
                <w:lang w:eastAsia="ja-JP"/>
              </w:rPr>
            </w:pPr>
          </w:p>
        </w:tc>
        <w:tc>
          <w:tcPr>
            <w:tcW w:w="2022" w:type="dxa"/>
            <w:vAlign w:val="center"/>
          </w:tcPr>
          <w:p>
            <w:pPr>
              <w:rPr>
                <w:lang w:eastAsia="ja-JP"/>
              </w:rPr>
            </w:pPr>
          </w:p>
        </w:tc>
        <w:tc>
          <w:tcPr>
            <w:tcW w:w="712" w:type="dxa"/>
            <w:vAlign w:val="center"/>
          </w:tcPr>
          <w:p>
            <w:pPr>
              <w:rPr>
                <w:lang w:eastAsia="ja-JP"/>
              </w:rPr>
            </w:pPr>
          </w:p>
        </w:tc>
        <w:tc>
          <w:tcPr>
            <w:tcW w:w="1588" w:type="dxa"/>
            <w:vAlign w:val="center"/>
          </w:tcPr>
          <w:p>
            <w:pPr>
              <w:rPr>
                <w:lang w:eastAsia="ja-JP"/>
              </w:rPr>
            </w:pPr>
          </w:p>
        </w:tc>
        <w:tc>
          <w:tcPr>
            <w:tcW w:w="172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526" w:type="dxa"/>
            <w:vAlign w:val="center"/>
          </w:tcPr>
          <w:p>
            <w:pPr>
              <w:rPr>
                <w:lang w:eastAsia="ja-JP"/>
              </w:rPr>
            </w:pPr>
          </w:p>
        </w:tc>
        <w:tc>
          <w:tcPr>
            <w:tcW w:w="2022" w:type="dxa"/>
            <w:vAlign w:val="center"/>
          </w:tcPr>
          <w:p>
            <w:pPr>
              <w:rPr>
                <w:lang w:eastAsia="ja-JP"/>
              </w:rPr>
            </w:pPr>
          </w:p>
        </w:tc>
        <w:tc>
          <w:tcPr>
            <w:tcW w:w="712" w:type="dxa"/>
            <w:vAlign w:val="center"/>
          </w:tcPr>
          <w:p>
            <w:pPr>
              <w:rPr>
                <w:lang w:eastAsia="ja-JP"/>
              </w:rPr>
            </w:pPr>
          </w:p>
        </w:tc>
        <w:tc>
          <w:tcPr>
            <w:tcW w:w="1588" w:type="dxa"/>
            <w:vAlign w:val="center"/>
          </w:tcPr>
          <w:p>
            <w:pPr>
              <w:rPr>
                <w:lang w:eastAsia="ja-JP"/>
              </w:rPr>
            </w:pPr>
          </w:p>
        </w:tc>
        <w:tc>
          <w:tcPr>
            <w:tcW w:w="172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526" w:type="dxa"/>
            <w:vAlign w:val="center"/>
          </w:tcPr>
          <w:p>
            <w:pPr>
              <w:rPr>
                <w:lang w:eastAsia="ja-JP"/>
              </w:rPr>
            </w:pPr>
          </w:p>
        </w:tc>
        <w:tc>
          <w:tcPr>
            <w:tcW w:w="2022" w:type="dxa"/>
            <w:vAlign w:val="center"/>
          </w:tcPr>
          <w:p>
            <w:pPr>
              <w:rPr>
                <w:lang w:eastAsia="ja-JP"/>
              </w:rPr>
            </w:pPr>
          </w:p>
        </w:tc>
        <w:tc>
          <w:tcPr>
            <w:tcW w:w="712" w:type="dxa"/>
            <w:vAlign w:val="center"/>
          </w:tcPr>
          <w:p>
            <w:pPr>
              <w:rPr>
                <w:lang w:eastAsia="ja-JP"/>
              </w:rPr>
            </w:pPr>
          </w:p>
        </w:tc>
        <w:tc>
          <w:tcPr>
            <w:tcW w:w="1588" w:type="dxa"/>
            <w:vAlign w:val="center"/>
          </w:tcPr>
          <w:p>
            <w:pPr>
              <w:rPr>
                <w:lang w:eastAsia="ja-JP"/>
              </w:rPr>
            </w:pPr>
          </w:p>
        </w:tc>
        <w:tc>
          <w:tcPr>
            <w:tcW w:w="172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Q:29.10.07</w:t>
            </w:r>
          </w:p>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Q:29.10.07</w:t>
            </w:r>
          </w:p>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eastAsia="宋体"/>
                <w:lang w:val="en-US" w:eastAsia="zh-CN"/>
              </w:rPr>
              <w:t>地址变更，原地址：重庆市永川区星光大道999号1幢(重庆永川工业园区凤凰湖工业园内)，变更为：重庆市长寿区齐心西路1号附1号厂房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b w:val="0"/>
                <w:bCs w:val="0"/>
                <w:color w:val="auto"/>
                <w:sz w:val="21"/>
                <w:szCs w:val="20"/>
                <w:highlight w:val="none"/>
              </w:rPr>
              <w:t>上次不符合涉及综合部</w:t>
            </w:r>
            <w:r>
              <w:rPr>
                <w:rFonts w:hint="eastAsia"/>
                <w:b w:val="0"/>
                <w:bCs w:val="0"/>
                <w:color w:val="auto"/>
                <w:sz w:val="21"/>
                <w:szCs w:val="20"/>
                <w:highlight w:val="none"/>
                <w:lang w:eastAsia="zh-CN"/>
              </w:rPr>
              <w:t>QEO</w:t>
            </w:r>
            <w:r>
              <w:rPr>
                <w:rFonts w:hint="eastAsia"/>
                <w:b w:val="0"/>
                <w:bCs w:val="0"/>
                <w:color w:val="auto"/>
                <w:sz w:val="21"/>
                <w:szCs w:val="20"/>
                <w:highlight w:val="none"/>
              </w:rPr>
              <w:t>7.5.3条款，企业已整改关闭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锅炉、换热器、压力容器、水处理设备的销售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锅炉、换热器、压力容器、水处理设备的销售所涉及场所的相关环境管理活动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锅炉、换热器、压力容器、水处理设备的销售所涉及场所的相关职业健康安全管理活动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lang w:val="en-US" w:eastAsia="zh-CN"/>
              </w:rPr>
              <w:drawing>
                <wp:anchor distT="0" distB="0" distL="114300" distR="114300" simplePos="0" relativeHeight="251661312" behindDoc="0" locked="0" layoutInCell="1" allowOverlap="1">
                  <wp:simplePos x="0" y="0"/>
                  <wp:positionH relativeFrom="column">
                    <wp:posOffset>262255</wp:posOffset>
                  </wp:positionH>
                  <wp:positionV relativeFrom="paragraph">
                    <wp:posOffset>10795</wp:posOffset>
                  </wp:positionV>
                  <wp:extent cx="696595" cy="351155"/>
                  <wp:effectExtent l="0" t="0" r="1905" b="4445"/>
                  <wp:wrapNone/>
                  <wp:docPr id="1"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
                          <pic:cNvPicPr>
                            <a:picLocks noChangeAspect="1"/>
                          </pic:cNvPicPr>
                        </pic:nvPicPr>
                        <pic:blipFill>
                          <a:blip r:embed="rId6"/>
                          <a:stretch>
                            <a:fillRect/>
                          </a:stretch>
                        </pic:blipFill>
                        <pic:spPr>
                          <a:xfrm>
                            <a:off x="0" y="0"/>
                            <a:ext cx="696595" cy="3511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sz w:val="24"/>
              </w:rPr>
              <w:t>2022年09月22日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highlight w:val="none"/>
          <w:shd w:val="clear" w:color="FFFFFF" w:fill="D9D9D9"/>
        </w:rPr>
      </w:pPr>
      <w:r>
        <w:rPr>
          <w:shd w:val="clear" w:color="FFFFFF" w:fill="D9D9D9"/>
        </w:rPr>
        <w:t>附</w:t>
      </w:r>
      <w:r>
        <w:rPr>
          <w:highlight w:val="none"/>
          <w:shd w:val="clear" w:color="FFFFFF" w:fill="D9D9D9"/>
        </w:rPr>
        <w:t>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审核周期</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□QMS体系建立以来</w:t>
            </w:r>
            <w:r>
              <w:rPr>
                <w:rFonts w:hint="eastAsia" w:ascii="黑体" w:hAnsi="黑体" w:eastAsia="黑体" w:cs="黑体"/>
                <w:highlight w:val="none"/>
              </w:rPr>
              <w:t>■</w:t>
            </w:r>
            <w:r>
              <w:rPr>
                <w:rFonts w:hint="eastAsia"/>
                <w:highlight w:val="none"/>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体系要素</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组织环境</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highlight w:val="none"/>
                    </w:rPr>
                  </w:pPr>
                </w:p>
              </w:tc>
              <w:tc>
                <w:tcPr>
                  <w:tcW w:w="7375" w:type="dxa"/>
                </w:tcPr>
                <w:p>
                  <w:pPr>
                    <w:shd w:val="clear" w:color="auto" w:fill="C7DAF1" w:themeFill="text2" w:themeFillTint="32"/>
                    <w:ind w:firstLine="420" w:firstLineChars="200"/>
                    <w:rPr>
                      <w:highlight w:val="none"/>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highlight w:val="none"/>
                    </w:rPr>
                  </w:pPr>
                  <w:r>
                    <w:rPr>
                      <w:rFonts w:hint="eastAsia"/>
                      <w:highlight w:val="none"/>
                    </w:rPr>
                    <w:t>外部环境</w:t>
                  </w:r>
                </w:p>
              </w:tc>
              <w:tc>
                <w:tcPr>
                  <w:tcW w:w="7375" w:type="dxa"/>
                </w:tcPr>
                <w:p>
                  <w:pPr>
                    <w:shd w:val="clear" w:color="auto" w:fill="C7DAF1" w:themeFill="text2" w:themeFillTint="32"/>
                    <w:rPr>
                      <w:highlight w:val="none"/>
                    </w:rPr>
                  </w:pPr>
                  <w:r>
                    <w:rPr>
                      <w:rFonts w:hint="eastAsia" w:ascii="黑体" w:hAnsi="黑体" w:eastAsia="黑体" w:cs="黑体"/>
                      <w:highlight w:val="none"/>
                    </w:rPr>
                    <w:t>■</w:t>
                  </w:r>
                  <w:r>
                    <w:rPr>
                      <w:rFonts w:hint="eastAsia"/>
                      <w:highlight w:val="none"/>
                    </w:rPr>
                    <w:t>法律法规</w:t>
                  </w:r>
                  <w:r>
                    <w:rPr>
                      <w:rFonts w:hint="eastAsia" w:ascii="黑体" w:hAnsi="黑体" w:eastAsia="黑体" w:cs="黑体"/>
                      <w:highlight w:val="none"/>
                    </w:rPr>
                    <w:t>■</w:t>
                  </w:r>
                  <w:r>
                    <w:rPr>
                      <w:rFonts w:hint="eastAsia"/>
                      <w:highlight w:val="none"/>
                    </w:rPr>
                    <w:t>技术□竞争□市场□文化□社会</w:t>
                  </w:r>
                  <w:r>
                    <w:rPr>
                      <w:rFonts w:hint="eastAsia" w:ascii="黑体" w:hAnsi="黑体" w:eastAsia="黑体" w:cs="黑体"/>
                      <w:highlight w:val="none"/>
                    </w:rPr>
                    <w:t>■</w:t>
                  </w:r>
                  <w:r>
                    <w:rPr>
                      <w:rFonts w:hint="eastAsia"/>
                      <w:highlight w:val="none"/>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highlight w:val="none"/>
                    </w:rPr>
                  </w:pPr>
                  <w:r>
                    <w:rPr>
                      <w:rFonts w:hint="eastAsia"/>
                      <w:highlight w:val="none"/>
                    </w:rPr>
                    <w:t>内部环境</w:t>
                  </w:r>
                </w:p>
              </w:tc>
              <w:tc>
                <w:tcPr>
                  <w:tcW w:w="7375" w:type="dxa"/>
                </w:tcPr>
                <w:p>
                  <w:pPr>
                    <w:shd w:val="clear" w:color="auto" w:fill="C7DAF1" w:themeFill="text2" w:themeFillTint="32"/>
                    <w:rPr>
                      <w:highlight w:val="none"/>
                    </w:rPr>
                  </w:pPr>
                  <w:r>
                    <w:rPr>
                      <w:rFonts w:hint="eastAsia" w:ascii="黑体" w:hAnsi="黑体" w:eastAsia="黑体" w:cs="黑体"/>
                      <w:highlight w:val="none"/>
                    </w:rPr>
                    <w:t>■</w:t>
                  </w:r>
                  <w:r>
                    <w:rPr>
                      <w:rFonts w:hint="eastAsia"/>
                      <w:highlight w:val="none"/>
                    </w:rPr>
                    <w:t>价值观□文化□知识□绩效</w:t>
                  </w:r>
                  <w:r>
                    <w:rPr>
                      <w:rFonts w:hint="eastAsia" w:ascii="黑体" w:hAnsi="黑体" w:eastAsia="黑体" w:cs="黑体"/>
                      <w:highlight w:val="none"/>
                    </w:rPr>
                    <w:t>■</w:t>
                  </w:r>
                  <w:r>
                    <w:rPr>
                      <w:rFonts w:hint="eastAsia"/>
                      <w:highlight w:val="none"/>
                    </w:rPr>
                    <w:t>工艺</w:t>
                  </w:r>
                  <w:r>
                    <w:rPr>
                      <w:rFonts w:hint="eastAsia" w:ascii="黑体" w:hAnsi="黑体" w:eastAsia="黑体" w:cs="黑体"/>
                      <w:highlight w:val="none"/>
                    </w:rPr>
                    <w:t>■</w:t>
                  </w:r>
                  <w:r>
                    <w:rPr>
                      <w:rFonts w:hint="eastAsia"/>
                      <w:highlight w:val="none"/>
                    </w:rPr>
                    <w:t>设备</w:t>
                  </w:r>
                  <w:r>
                    <w:rPr>
                      <w:rFonts w:hint="eastAsia" w:ascii="黑体" w:hAnsi="黑体" w:eastAsia="黑体" w:cs="黑体"/>
                      <w:highlight w:val="none"/>
                    </w:rPr>
                    <w:t>■</w:t>
                  </w:r>
                  <w:r>
                    <w:rPr>
                      <w:rFonts w:hint="eastAsia"/>
                      <w:highlight w:val="none"/>
                    </w:rPr>
                    <w:t>人员能力□其他</w:t>
                  </w: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重要的相关方</w:t>
                  </w:r>
                </w:p>
              </w:tc>
              <w:tc>
                <w:tcPr>
                  <w:tcW w:w="6912" w:type="dxa"/>
                </w:tcPr>
                <w:p>
                  <w:pPr>
                    <w:shd w:val="clear" w:color="auto" w:fill="C7DAF1" w:themeFill="text2"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ascii="黑体" w:hAnsi="黑体" w:eastAsia="黑体" w:cs="黑体"/>
                      <w:highlight w:val="none"/>
                    </w:rPr>
                    <w:t>■</w:t>
                  </w:r>
                  <w:r>
                    <w:rPr>
                      <w:rFonts w:hint="eastAsia"/>
                      <w:highlight w:val="none"/>
                    </w:rPr>
                    <w:t>主管部门</w:t>
                  </w:r>
                </w:p>
              </w:tc>
              <w:tc>
                <w:tcPr>
                  <w:tcW w:w="6912" w:type="dxa"/>
                </w:tcPr>
                <w:p>
                  <w:pPr>
                    <w:shd w:val="clear" w:color="auto" w:fill="C7DAF1" w:themeFill="text2" w:themeFillTint="32"/>
                    <w:rPr>
                      <w:highlight w:val="none"/>
                    </w:rPr>
                  </w:pPr>
                  <w:r>
                    <w:rPr>
                      <w:rFonts w:hint="eastAsia"/>
                      <w:highlight w:val="none"/>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ascii="黑体" w:hAnsi="黑体" w:eastAsia="黑体" w:cs="黑体"/>
                      <w:highlight w:val="none"/>
                    </w:rPr>
                    <w:t>■</w:t>
                  </w:r>
                  <w:r>
                    <w:rPr>
                      <w:rFonts w:hint="eastAsia"/>
                      <w:highlight w:val="none"/>
                    </w:rPr>
                    <w:t>供方</w:t>
                  </w:r>
                </w:p>
              </w:tc>
              <w:tc>
                <w:tcPr>
                  <w:tcW w:w="6912" w:type="dxa"/>
                </w:tcPr>
                <w:p>
                  <w:pPr>
                    <w:shd w:val="clear" w:color="auto" w:fill="C7DAF1" w:themeFill="text2" w:themeFillTint="32"/>
                    <w:rPr>
                      <w:highlight w:val="none"/>
                    </w:rPr>
                  </w:pPr>
                  <w:r>
                    <w:rPr>
                      <w:rFonts w:hint="eastAsia"/>
                      <w:highlight w:val="none"/>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ascii="黑体" w:hAnsi="黑体" w:eastAsia="黑体" w:cs="黑体"/>
                      <w:highlight w:val="none"/>
                    </w:rPr>
                    <w:t>■</w:t>
                  </w:r>
                  <w:r>
                    <w:rPr>
                      <w:rFonts w:hint="eastAsia"/>
                      <w:highlight w:val="none"/>
                    </w:rPr>
                    <w:t>顾客</w:t>
                  </w:r>
                </w:p>
              </w:tc>
              <w:tc>
                <w:tcPr>
                  <w:tcW w:w="6912" w:type="dxa"/>
                </w:tcPr>
                <w:p>
                  <w:pPr>
                    <w:shd w:val="clear" w:color="auto" w:fill="C7DAF1" w:themeFill="text2" w:themeFillTint="32"/>
                    <w:rPr>
                      <w:highlight w:val="none"/>
                    </w:rPr>
                  </w:pPr>
                  <w:r>
                    <w:rPr>
                      <w:rFonts w:hint="eastAsia"/>
                      <w:highlight w:val="none"/>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■消费者</w:t>
                  </w:r>
                </w:p>
              </w:tc>
              <w:tc>
                <w:tcPr>
                  <w:tcW w:w="6912" w:type="dxa"/>
                </w:tcPr>
                <w:p>
                  <w:pPr>
                    <w:shd w:val="clear" w:color="auto" w:fill="C7DAF1" w:themeFill="text2" w:themeFillTint="32"/>
                    <w:rPr>
                      <w:highlight w:val="none"/>
                    </w:rPr>
                  </w:pPr>
                  <w:r>
                    <w:rPr>
                      <w:rFonts w:hint="eastAsia"/>
                      <w:highlight w:val="none"/>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ascii="黑体" w:hAnsi="黑体" w:eastAsia="黑体" w:cs="黑体"/>
                      <w:highlight w:val="none"/>
                    </w:rPr>
                    <w:t>■</w:t>
                  </w:r>
                  <w:r>
                    <w:rPr>
                      <w:rFonts w:hint="eastAsia"/>
                      <w:highlight w:val="none"/>
                    </w:rPr>
                    <w:t>员工</w:t>
                  </w:r>
                </w:p>
              </w:tc>
              <w:tc>
                <w:tcPr>
                  <w:tcW w:w="6912" w:type="dxa"/>
                </w:tcPr>
                <w:p>
                  <w:pPr>
                    <w:shd w:val="clear" w:color="auto" w:fill="C7DAF1" w:themeFill="text2"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□投资方</w:t>
                  </w:r>
                </w:p>
              </w:tc>
              <w:tc>
                <w:tcPr>
                  <w:tcW w:w="6912" w:type="dxa"/>
                </w:tcPr>
                <w:p>
                  <w:pPr>
                    <w:shd w:val="clear" w:color="auto" w:fill="C7DAF1" w:themeFill="text2" w:themeFillTint="32"/>
                    <w:rPr>
                      <w:highlight w:val="none"/>
                    </w:rPr>
                  </w:pPr>
                  <w:r>
                    <w:rPr>
                      <w:rFonts w:hint="eastAsia"/>
                      <w:highlight w:val="none"/>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□其他</w:t>
                  </w:r>
                </w:p>
              </w:tc>
              <w:tc>
                <w:tcPr>
                  <w:tcW w:w="6912" w:type="dxa"/>
                </w:tcPr>
                <w:p>
                  <w:pPr>
                    <w:shd w:val="clear" w:color="auto" w:fill="C7DAF1" w:themeFill="text2" w:themeFillTint="32"/>
                    <w:rPr>
                      <w:highlight w:val="none"/>
                    </w:rPr>
                  </w:pP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组织应明确相关管理体系的范围；（详见第一条款审核范围）</w:t>
            </w:r>
          </w:p>
          <w:p>
            <w:pPr>
              <w:shd w:val="clear" w:color="auto" w:fill="C7DAF1" w:themeFill="text2" w:themeFillTint="32"/>
              <w:rPr>
                <w:highlight w:val="none"/>
              </w:rPr>
            </w:pPr>
            <w:r>
              <w:rPr>
                <w:rFonts w:hint="eastAsia"/>
                <w:highlight w:val="none"/>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黑体" w:hAnsi="黑体" w:eastAsia="黑体" w:cs="黑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82"/>
            </w:pPr>
            <w:r>
              <w:rPr>
                <w:rFonts w:hint="eastAsia"/>
              </w:rPr>
              <w:t>最高管理者制定了文件化的管理体系方针：</w:t>
            </w:r>
            <w:r>
              <w:rPr>
                <w:rFonts w:hint="eastAsia"/>
                <w:u w:val="single"/>
              </w:rPr>
              <w:t>“质量为本、满意服务；污染预防、全员环保；安全为天、珍爱生命；遵纪守法、持续改进”。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QMS的主管部门是——市场部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rPr>
                    <w:t>竞争风险</w:t>
                  </w:r>
                </w:p>
              </w:tc>
              <w:tc>
                <w:tcPr>
                  <w:tcW w:w="3965" w:type="dxa"/>
                </w:tcPr>
                <w:p>
                  <w:pPr>
                    <w:shd w:val="clear" w:color="auto" w:fill="C7DAF1" w:themeFill="text2" w:themeFillTint="32"/>
                  </w:pPr>
                  <w:r>
                    <w:rPr>
                      <w:rFonts w:hint="eastAsia" w:ascii="宋体" w:hAnsi="宋体" w:cs="宋体"/>
                      <w:color w:val="000000"/>
                    </w:rPr>
                    <w:t>及时关注公司产品市场的情况，收集信息及时调整，保持公司产品的竞争力</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rPr>
                    <w:t>人力资源风险</w:t>
                  </w:r>
                </w:p>
              </w:tc>
              <w:tc>
                <w:tcPr>
                  <w:tcW w:w="3965" w:type="dxa"/>
                </w:tcPr>
                <w:p>
                  <w:pPr>
                    <w:shd w:val="clear" w:color="auto" w:fill="C7DAF1" w:themeFill="text2" w:themeFillTint="32"/>
                  </w:pPr>
                  <w:r>
                    <w:rPr>
                      <w:rFonts w:hint="eastAsia" w:ascii="宋体" w:hAnsi="宋体" w:cs="宋体"/>
                      <w:color w:val="000000"/>
                    </w:rPr>
                    <w:t>各部门应及时关注员工的心态变化，注意工作方式，创造良好的工作环境，提高员工的归属感</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ascii="宋体" w:hAnsi="宋体"/>
                    </w:rPr>
                  </w:pPr>
                  <w:r>
                    <w:rPr>
                      <w:rFonts w:hint="eastAsia"/>
                      <w:kern w:val="0"/>
                      <w:szCs w:val="21"/>
                    </w:rPr>
                    <w:t>产品交付合格率100</w:t>
                  </w:r>
                  <w:r>
                    <w:rPr>
                      <w:kern w:val="0"/>
                      <w:szCs w:val="21"/>
                    </w:rPr>
                    <w:t>%</w:t>
                  </w:r>
                  <w:r>
                    <w:rPr>
                      <w:rFonts w:hint="eastAsia"/>
                      <w:kern w:val="0"/>
                      <w:szCs w:val="21"/>
                    </w:rPr>
                    <w:t>；</w:t>
                  </w:r>
                </w:p>
              </w:tc>
              <w:tc>
                <w:tcPr>
                  <w:tcW w:w="3136" w:type="dxa"/>
                  <w:shd w:val="clear" w:color="auto" w:fill="auto"/>
                  <w:vAlign w:val="center"/>
                </w:tcPr>
                <w:p>
                  <w:pPr>
                    <w:shd w:val="clear" w:color="auto" w:fill="C7DAF1" w:themeFill="text2" w:themeFillTint="32"/>
                    <w:rPr>
                      <w:rFonts w:ascii="宋体" w:hAnsi="宋体"/>
                      <w:lang w:val="en-GB"/>
                    </w:rPr>
                  </w:pPr>
                  <w:r>
                    <w:rPr>
                      <w:rFonts w:hint="eastAsia" w:ascii="宋体" w:hAnsi="宋体"/>
                    </w:rPr>
                    <w:t>交验合格数/交验数×100%</w:t>
                  </w:r>
                </w:p>
              </w:tc>
              <w:tc>
                <w:tcPr>
                  <w:tcW w:w="1350" w:type="dxa"/>
                  <w:shd w:val="clear" w:color="auto" w:fill="auto"/>
                  <w:vAlign w:val="center"/>
                </w:tcPr>
                <w:p>
                  <w:pPr>
                    <w:shd w:val="clear" w:color="auto" w:fill="C7DAF1" w:themeFill="text2" w:themeFillTint="32"/>
                    <w:rPr>
                      <w:rFonts w:ascii="宋体" w:hAnsi="宋体"/>
                      <w:lang w:val="en-GB"/>
                    </w:rPr>
                  </w:pPr>
                  <w:r>
                    <w:rPr>
                      <w:rFonts w:hint="eastAsia" w:ascii="宋体" w:hAnsi="宋体"/>
                    </w:rPr>
                    <w:t>市场</w:t>
                  </w:r>
                  <w:r>
                    <w:rPr>
                      <w:rFonts w:hint="eastAsia" w:ascii="宋体" w:hAnsi="宋体"/>
                      <w:lang w:val="en-GB"/>
                    </w:rPr>
                    <w:t>部</w:t>
                  </w:r>
                </w:p>
              </w:tc>
              <w:tc>
                <w:tcPr>
                  <w:tcW w:w="1774" w:type="dxa"/>
                  <w:shd w:val="clear" w:color="auto" w:fill="auto"/>
                  <w:vAlign w:val="center"/>
                </w:tcPr>
                <w:p>
                  <w:pPr>
                    <w:shd w:val="clear" w:color="auto" w:fill="C7DAF1" w:themeFill="text2" w:themeFillTint="32"/>
                    <w:rPr>
                      <w:rFonts w:ascii="宋体" w:hAnsi="宋体"/>
                      <w:lang w:val="en-GB"/>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ascii="宋体" w:hAnsi="宋体"/>
                    </w:rPr>
                  </w:pPr>
                  <w:r>
                    <w:rPr>
                      <w:rFonts w:hint="eastAsia" w:ascii="宋体" w:hAnsi="宋体"/>
                    </w:rPr>
                    <w:t>顾客满意率≥96分</w:t>
                  </w:r>
                </w:p>
                <w:p>
                  <w:pPr>
                    <w:shd w:val="clear" w:color="auto" w:fill="C7DAF1" w:themeFill="text2" w:themeFillTint="32"/>
                    <w:rPr>
                      <w:rFonts w:ascii="宋体" w:hAnsi="宋体"/>
                    </w:rPr>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满意度得分=打分总分数÷调查客户数量</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市场部</w:t>
                  </w:r>
                </w:p>
              </w:tc>
              <w:tc>
                <w:tcPr>
                  <w:tcW w:w="1774" w:type="dxa"/>
                  <w:shd w:val="clear" w:color="auto" w:fill="auto"/>
                  <w:vAlign w:val="center"/>
                </w:tcPr>
                <w:p>
                  <w:pPr>
                    <w:shd w:val="clear" w:color="auto" w:fill="C7DAF1" w:themeFill="text2" w:themeFillTint="32"/>
                    <w:rPr>
                      <w:rFonts w:ascii="宋体" w:hAnsi="宋体"/>
                    </w:rPr>
                  </w:pPr>
                  <w:r>
                    <w:rPr>
                      <w:rFonts w:hint="eastAsia" w:ascii="宋体" w:hAnsi="宋体"/>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建筑面积380平方米；经营场所1个；库房  个；实验室  个；</w:t>
            </w:r>
          </w:p>
          <w:p>
            <w:pPr>
              <w:shd w:val="clear" w:color="auto" w:fill="C7DAF1" w:themeFill="text2" w:themeFillTint="32"/>
              <w:rPr>
                <w:u w:val="single"/>
              </w:rPr>
            </w:pPr>
            <w:r>
              <w:rPr>
                <w:rFonts w:hint="eastAsia"/>
              </w:rPr>
              <w:t>主要生产设备有：</w:t>
            </w:r>
            <w:r>
              <w:rPr>
                <w:rFonts w:hint="eastAsia"/>
                <w:u w:val="single"/>
              </w:rPr>
              <w:t>电脑及办公设备等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黑体" w:hAnsi="黑体" w:eastAsia="黑体" w:cs="黑体"/>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黑体" w:hAnsi="黑体" w:eastAsia="黑体" w:cs="黑体"/>
              </w:rPr>
              <w:t>□</w:t>
            </w:r>
            <w:r>
              <w:rPr>
                <w:rFonts w:hint="eastAsia"/>
              </w:rPr>
              <w:t>压力容器</w:t>
            </w:r>
            <w:r>
              <w:rPr>
                <w:rFonts w:hint="eastAsia" w:ascii="Wingdings" w:hAnsi="Wingdings"/>
              </w:rPr>
              <w:t>□</w:t>
            </w:r>
            <w:r>
              <w:rPr>
                <w:rFonts w:hint="eastAsia"/>
              </w:rPr>
              <w:t>压力管道■不适用</w:t>
            </w:r>
          </w:p>
          <w:p>
            <w:pPr>
              <w:shd w:val="clear" w:color="auto" w:fill="C7DAF1" w:themeFill="text2" w:themeFillTint="32"/>
              <w:rPr>
                <w:u w:val="single"/>
              </w:rPr>
            </w:pPr>
            <w:r>
              <w:rPr>
                <w:rFonts w:hint="eastAsia"/>
              </w:rPr>
              <w:t>特种设备管理：</w:t>
            </w:r>
            <w:r>
              <w:rPr>
                <w:rFonts w:hint="eastAsia" w:ascii="黑体" w:hAnsi="黑体" w:eastAsia="黑体" w:cs="黑体"/>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38"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黑体" w:hAnsi="黑体" w:eastAsia="黑体" w:cs="黑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黑体" w:hAnsi="黑体" w:eastAsia="黑体" w:cs="黑体"/>
              </w:rPr>
              <w:t>□</w:t>
            </w:r>
            <w:r>
              <w:rPr>
                <w:rFonts w:hint="eastAsia"/>
              </w:rPr>
              <w:t>外校</w:t>
            </w:r>
          </w:p>
          <w:p>
            <w:pPr>
              <w:shd w:val="clear" w:color="auto" w:fill="C7DAF1" w:themeFill="text2" w:themeFillTint="32"/>
              <w:rPr>
                <w:u w:val="single"/>
              </w:rPr>
            </w:pPr>
            <w:r>
              <w:rPr>
                <w:rFonts w:hint="eastAsia"/>
              </w:rPr>
              <w:t>国家强检的计量器具有：</w:t>
            </w:r>
          </w:p>
          <w:p>
            <w:pPr>
              <w:shd w:val="clear" w:color="auto" w:fill="C7DAF1" w:themeFill="text2" w:themeFillTint="32"/>
              <w:rPr>
                <w:u w:val="single"/>
              </w:rPr>
            </w:pPr>
            <w:r>
              <w:rPr>
                <w:rFonts w:hint="eastAsia"/>
              </w:rPr>
              <w:t>计量器具管理：</w:t>
            </w:r>
            <w:r>
              <w:rPr>
                <w:rFonts w:hint="eastAsia" w:ascii="黑体" w:hAnsi="黑体" w:eastAsia="黑体" w:cs="黑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黑体" w:hAnsi="黑体" w:eastAsia="黑体" w:cs="黑体"/>
              </w:rPr>
              <w:t>□</w:t>
            </w:r>
            <w:r>
              <w:rPr>
                <w:rFonts w:hint="eastAsia"/>
              </w:rPr>
              <w:t>加工工艺</w:t>
            </w:r>
            <w:r>
              <w:rPr>
                <w:rFonts w:hint="eastAsia" w:ascii="黑体" w:hAnsi="黑体" w:eastAsia="黑体" w:cs="黑体"/>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黑体" w:hAnsi="黑体" w:eastAsia="黑体" w:cs="黑体"/>
              </w:rPr>
              <w:t>■</w:t>
            </w:r>
            <w:r>
              <w:rPr>
                <w:rFonts w:hint="eastAsia"/>
              </w:rPr>
              <w:t>顾客提供资料</w:t>
            </w:r>
            <w:r>
              <w:rPr>
                <w:rFonts w:hint="eastAsia" w:ascii="黑体" w:hAnsi="黑体" w:eastAsia="黑体" w:cs="黑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rPr>
              <w:t>□</w:t>
            </w:r>
            <w:r>
              <w:rPr>
                <w:rFonts w:hint="eastAsia"/>
              </w:rPr>
              <w:t>电工</w:t>
            </w:r>
            <w:r>
              <w:rPr>
                <w:rFonts w:hint="eastAsia" w:ascii="黑体" w:hAnsi="黑体" w:eastAsia="黑体" w:cs="黑体"/>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黑体" w:hAnsi="黑体" w:eastAsia="黑体" w:cs="黑体"/>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rPr>
              <w:t>□</w:t>
            </w:r>
            <w:r>
              <w:rPr>
                <w:rFonts w:hint="eastAsia"/>
              </w:rPr>
              <w:t>标语</w:t>
            </w:r>
            <w:r>
              <w:rPr>
                <w:rFonts w:hint="eastAsia" w:ascii="黑体" w:hAnsi="黑体" w:eastAsia="黑体" w:cs="黑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黑体" w:hAnsi="黑体" w:eastAsia="黑体" w:cs="黑体"/>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黑体" w:hAnsi="黑体" w:eastAsia="黑体" w:cs="黑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黑体" w:hAnsi="黑体" w:eastAsia="黑体" w:cs="黑体"/>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黑体" w:hAnsi="黑体" w:eastAsia="黑体" w:cs="黑体"/>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其他：销售产品采购。</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锅炉、换热器、压力容器、水处理设备的销售</w:t>
                  </w:r>
                </w:p>
              </w:tc>
              <w:tc>
                <w:tcPr>
                  <w:tcW w:w="3665" w:type="dxa"/>
                </w:tcPr>
                <w:p>
                  <w:pPr>
                    <w:shd w:val="clear" w:color="auto" w:fill="C7DAF1" w:themeFill="text2" w:themeFillTint="32"/>
                    <w:jc w:val="left"/>
                  </w:pPr>
                  <w:r>
                    <w:rPr>
                      <w:rFonts w:hint="eastAsia"/>
                    </w:rPr>
                    <w:t>销售过程</w:t>
                  </w:r>
                </w:p>
              </w:tc>
              <w:tc>
                <w:tcPr>
                  <w:tcW w:w="3265" w:type="dxa"/>
                </w:tcPr>
                <w:p>
                  <w:pPr>
                    <w:shd w:val="clear" w:color="auto" w:fill="C7DAF1" w:themeFill="text2" w:themeFillTint="32"/>
                    <w:jc w:val="left"/>
                  </w:pPr>
                  <w:r>
                    <w:rPr>
                      <w:rFonts w:hint="eastAsia"/>
                    </w:rPr>
                    <w:t>产品质量、交付期、售后服务等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需要确认的过程：销售过程，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宋体" w:hAnsi="宋体" w:eastAsia="宋体" w:cs="宋体"/>
              </w:rPr>
              <w:t>■</w:t>
            </w:r>
            <w:r>
              <w:rPr>
                <w:rFonts w:hint="eastAsia"/>
              </w:rPr>
              <w:t>存在不足，说明</w:t>
            </w:r>
            <w:r>
              <w:rPr>
                <w:rFonts w:hint="eastAsia"/>
                <w:lang w:val="en-US" w:eastAsia="zh-CN"/>
              </w:rPr>
              <w:t>:</w:t>
            </w:r>
            <w:r>
              <w:rPr>
                <w:rFonts w:hint="eastAsia"/>
                <w:u w:val="single"/>
                <w:lang w:val="en-US" w:eastAsia="zh-CN"/>
              </w:rPr>
              <w:t>未进行年度确认，已开具不符合</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黑体" w:hAnsi="黑体" w:eastAsia="黑体" w:cs="黑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黑体" w:hAnsi="黑体" w:eastAsia="黑体" w:cs="黑体"/>
              </w:rPr>
              <w:t>■</w:t>
            </w:r>
            <w:r>
              <w:rPr>
                <w:rFonts w:hint="eastAsia"/>
              </w:rPr>
              <w:t>图纸</w:t>
            </w:r>
            <w:r>
              <w:rPr>
                <w:rFonts w:hint="eastAsia" w:ascii="Wingdings" w:hAnsi="Wingdings"/>
              </w:rPr>
              <w:t>□</w:t>
            </w:r>
            <w:r>
              <w:rPr>
                <w:rFonts w:hint="eastAsia"/>
              </w:rPr>
              <w:t>配方</w:t>
            </w:r>
            <w:r>
              <w:rPr>
                <w:rFonts w:hint="eastAsia" w:ascii="黑体" w:hAnsi="黑体" w:eastAsia="黑体" w:cs="黑体"/>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目前交付后活动：■三包</w:t>
            </w:r>
            <w:r>
              <w:rPr>
                <w:rFonts w:hint="eastAsia" w:ascii="黑体" w:hAnsi="黑体" w:eastAsia="黑体" w:cs="黑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黑体" w:hAnsi="黑体" w:eastAsia="黑体" w:cs="黑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szCs w:val="21"/>
                <w:u w:val="single"/>
                <w:lang w:eastAsia="zh-CN"/>
              </w:rPr>
              <w:t>2022年9月04 - 05日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eastAsia="zh-CN"/>
              </w:rPr>
              <w:t>2022年9月16日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宋体" w:hAnsi="宋体" w:eastAsia="宋体" w:cs="宋体"/>
              </w:rPr>
              <w:t>■</w:t>
            </w:r>
            <w:r>
              <w:rPr>
                <w:rFonts w:hint="eastAsia"/>
              </w:rPr>
              <w:t>自我验证的结果</w:t>
            </w:r>
            <w:r>
              <w:rPr>
                <w:rFonts w:hint="eastAsia" w:ascii="Wingdings" w:hAnsi="Wingdings"/>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82"/>
              <w:rPr>
                <w:u w:val="single"/>
              </w:rPr>
            </w:pPr>
            <w:r>
              <w:rPr>
                <w:rFonts w:hint="eastAsia"/>
              </w:rPr>
              <w:t>最高管理者制定了文件化的管理体系方针：</w:t>
            </w:r>
            <w:r>
              <w:rPr>
                <w:rFonts w:hint="eastAsia"/>
                <w:u w:val="single"/>
              </w:rPr>
              <w:t>“质量为本、满意服务；污染预防、全员环保；安全为天、珍爱生命；遵纪守法、持续改进”。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asciiTheme="minorEastAsia" w:hAnsiTheme="minorEastAsia" w:eastAsiaTheme="minorEastAsia"/>
                      <w:szCs w:val="21"/>
                    </w:rPr>
                    <w:t>潜在火灾</w:t>
                  </w:r>
                </w:p>
              </w:tc>
              <w:tc>
                <w:tcPr>
                  <w:tcW w:w="3965" w:type="dxa"/>
                </w:tcPr>
                <w:p>
                  <w:pPr>
                    <w:shd w:val="clear" w:color="auto" w:fill="EBF1DE" w:themeFill="accent3" w:themeFillTint="32"/>
                    <w:rPr>
                      <w:highlight w:val="yellow"/>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rPr>
                    <w:t>固废排放</w:t>
                  </w:r>
                </w:p>
              </w:tc>
              <w:tc>
                <w:tcPr>
                  <w:tcW w:w="3965" w:type="dxa"/>
                </w:tcPr>
                <w:p>
                  <w:pPr>
                    <w:shd w:val="clear" w:color="auto" w:fill="EBF1DE" w:themeFill="accent3" w:themeFillTint="32"/>
                    <w:rPr>
                      <w:highlight w:val="yellow"/>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  □资源消耗 □废水排放  □废气排放 □粉尘排放  □危废排放 □噪声排放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7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2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0" w:type="dxa"/>
                  <w:shd w:val="clear" w:color="auto" w:fill="auto"/>
                </w:tcPr>
                <w:p>
                  <w:r>
                    <w:rPr>
                      <w:rFonts w:hint="eastAsia" w:ascii="宋体"/>
                    </w:rPr>
                    <w:t>火灾事故为0</w:t>
                  </w:r>
                </w:p>
              </w:tc>
              <w:tc>
                <w:tcPr>
                  <w:tcW w:w="2727" w:type="dxa"/>
                  <w:shd w:val="clear" w:color="auto" w:fill="auto"/>
                  <w:vAlign w:val="center"/>
                </w:tcPr>
                <w:p>
                  <w:pPr>
                    <w:shd w:val="clear" w:color="auto" w:fill="EBF1DE" w:themeFill="accent3" w:themeFillTint="32"/>
                    <w:rPr>
                      <w:rFonts w:ascii="宋体" w:hAnsi="宋体"/>
                      <w:lang w:val="en-GB"/>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shd w:val="clear" w:color="auto" w:fill="EBF1DE" w:themeFill="accent3" w:themeFillTint="32"/>
                    <w:rPr>
                      <w:lang w:val="en-GB"/>
                    </w:rPr>
                  </w:pPr>
                  <w:r>
                    <w:rPr>
                      <w:rFonts w:hint="eastAsia"/>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r>
                    <w:rPr>
                      <w:rFonts w:hint="eastAsia" w:ascii="宋体"/>
                    </w:rPr>
                    <w:t>固体废弃物100%合规处理</w:t>
                  </w:r>
                </w:p>
              </w:tc>
              <w:tc>
                <w:tcPr>
                  <w:tcW w:w="2727"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szCs w:val="21"/>
                    </w:rPr>
                    <w:t>采取分类收集、管理方案进行管理</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380   </w:t>
            </w:r>
            <w:r>
              <w:rPr>
                <w:rFonts w:hint="eastAsia"/>
              </w:rPr>
              <w:t>平方米；经营场所</w:t>
            </w:r>
            <w:r>
              <w:rPr>
                <w:rFonts w:hint="eastAsia"/>
                <w:u w:val="single"/>
              </w:rPr>
              <w:t xml:space="preserve"> 1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电脑、打印机、空调等办公设备     </w:t>
            </w:r>
          </w:p>
          <w:p>
            <w:pPr>
              <w:spacing w:line="400" w:lineRule="exact"/>
              <w:rPr>
                <w:u w:val="single"/>
              </w:rPr>
            </w:pPr>
            <w:r>
              <w:rPr>
                <w:rFonts w:hint="eastAsia"/>
              </w:rPr>
              <w:t>主要环保设备有：</w:t>
            </w:r>
            <w:r>
              <w:rPr>
                <w:rFonts w:hint="eastAsia"/>
                <w:u w:val="single"/>
              </w:rPr>
              <w:t xml:space="preserve">  </w:t>
            </w:r>
            <w:r>
              <w:rPr>
                <w:rFonts w:hint="eastAsia"/>
                <w:szCs w:val="21"/>
                <w:u w:val="single"/>
              </w:rPr>
              <w:t>消防栓、灭火器</w:t>
            </w:r>
            <w:r>
              <w:rPr>
                <w:rFonts w:hint="eastAsia"/>
                <w:u w:val="single"/>
              </w:rPr>
              <w:t xml:space="preserve">             </w:t>
            </w:r>
          </w:p>
          <w:p>
            <w:pPr>
              <w:shd w:val="clear" w:color="auto" w:fill="EBF1DE" w:themeFill="accent3" w:themeFillTint="32"/>
            </w:pPr>
            <w:r>
              <w:rPr>
                <w:rFonts w:hint="eastAsia"/>
              </w:rPr>
              <w:t>特种设备：无</w:t>
            </w:r>
          </w:p>
          <w:p>
            <w:pPr>
              <w:shd w:val="clear" w:color="auto" w:fill="EBF1DE" w:themeFill="accent3" w:themeFillTint="32"/>
            </w:pPr>
            <w:r>
              <w:rPr>
                <w:rFonts w:hint="eastAsia"/>
              </w:rPr>
              <w:t>辅助场所：</w:t>
            </w:r>
            <w:r>
              <w:rPr>
                <w:rFonts w:hint="eastAsia" w:ascii="Wingdings" w:hAnsi="Wingdings"/>
              </w:rPr>
              <w:t>无</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 无</w:t>
            </w:r>
          </w:p>
          <w:p>
            <w:pPr>
              <w:shd w:val="clear" w:color="auto" w:fill="EBF1DE" w:themeFill="accent3" w:themeFillTint="32"/>
              <w:rPr>
                <w:u w:val="single"/>
              </w:rPr>
            </w:pPr>
            <w:r>
              <w:rPr>
                <w:rFonts w:hint="eastAsia"/>
              </w:rPr>
              <w:t>环境监测的计量器具有：</w:t>
            </w:r>
            <w:r>
              <w:rPr>
                <w:rFonts w:hint="eastAsia"/>
                <w:u w:val="single"/>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■招聘 </w:t>
            </w:r>
            <w:r>
              <w:rPr>
                <w:rFonts w:hint="eastAsia"/>
                <w:lang w:eastAsia="zh-CN"/>
              </w:rPr>
              <w:t>□</w:t>
            </w:r>
            <w:r>
              <w:rPr>
                <w:rFonts w:hint="eastAsia"/>
              </w:rPr>
              <w:t xml:space="preserve">换岗 ■培训  ■考核   </w:t>
            </w:r>
            <w:r>
              <w:rPr>
                <w:rFonts w:hint="eastAsia"/>
                <w:lang w:eastAsia="zh-CN"/>
              </w:rPr>
              <w:t>□</w:t>
            </w:r>
            <w:r>
              <w:rPr>
                <w:rFonts w:hint="eastAsia"/>
              </w:rPr>
              <w:t xml:space="preserve">辅导  </w:t>
            </w:r>
            <w:r>
              <w:rPr>
                <w:rFonts w:hint="eastAsia"/>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无</w:t>
            </w:r>
            <w:r>
              <w:rPr>
                <w:rFonts w:hint="eastAsia"/>
              </w:rPr>
              <w:t xml:space="preserve">  </w:t>
            </w:r>
          </w:p>
          <w:p>
            <w:pPr>
              <w:shd w:val="clear" w:color="auto" w:fill="EBF1DE" w:themeFill="accent3" w:themeFillTint="32"/>
            </w:pPr>
            <w:r>
              <w:rPr>
                <w:rFonts w:hint="eastAsia"/>
              </w:rPr>
              <w:t xml:space="preserve">特种设备作业人员：无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 xml:space="preserve">内部沟通方式：■文件发放 ■会议 ■标语  ■展板   </w:t>
            </w:r>
            <w:r>
              <w:rPr>
                <w:rFonts w:hint="eastAsia"/>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无          （</w:t>
            </w:r>
            <w:r>
              <w:rPr>
                <w:rFonts w:hint="eastAsia"/>
              </w:rPr>
              <w:t>举1例）</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szCs w:val="21"/>
                    </w:rPr>
                    <w:t>采取分类收集、管理方案进行管理</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szCs w:val="21"/>
                    </w:rPr>
                    <w:t>通过管理方案和预案措施、应急演练进行管理</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u w:val="single"/>
              </w:rPr>
              <w:t>不适用</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组织在生产和服务提供的整个过程中不涉及危化品。</w:t>
            </w:r>
          </w:p>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危化品：不涉及危化品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 xml:space="preserve">已发生的更改包括：■重要原材料 </w:t>
            </w:r>
            <w:r>
              <w:rPr>
                <w:rFonts w:hint="eastAsia"/>
                <w:lang w:eastAsia="zh-CN"/>
              </w:rPr>
              <w:t>□</w:t>
            </w:r>
            <w:r>
              <w:rPr>
                <w:rFonts w:hint="eastAsia"/>
              </w:rPr>
              <w:t xml:space="preserve">设备 </w:t>
            </w:r>
            <w:r>
              <w:rPr>
                <w:rFonts w:hint="eastAsia"/>
                <w:lang w:eastAsia="zh-CN"/>
              </w:rPr>
              <w:t>□</w:t>
            </w:r>
            <w:r>
              <w:rPr>
                <w:rFonts w:hint="eastAsia"/>
              </w:rPr>
              <w:t xml:space="preserve">检测设备 ■图纸 ■工艺 </w:t>
            </w:r>
            <w:r>
              <w:rPr>
                <w:rFonts w:hint="eastAsia"/>
                <w:lang w:eastAsia="zh-CN"/>
              </w:rPr>
              <w:t>□</w:t>
            </w:r>
            <w:r>
              <w:rPr>
                <w:rFonts w:hint="eastAsia"/>
              </w:rPr>
              <w:t xml:space="preserve">加工场所 </w:t>
            </w:r>
            <w:r>
              <w:rPr>
                <w:rFonts w:hint="eastAsia"/>
                <w:lang w:eastAsia="zh-CN"/>
              </w:rPr>
              <w:t>□</w:t>
            </w:r>
            <w:r>
              <w:rPr>
                <w:rFonts w:hint="eastAsia"/>
              </w:rPr>
              <w:t>其他</w:t>
            </w:r>
          </w:p>
          <w:p>
            <w:pPr>
              <w:shd w:val="clear" w:color="auto" w:fill="EBF1DE" w:themeFill="accent3" w:themeFillTint="32"/>
            </w:pPr>
            <w:r>
              <w:rPr>
                <w:rFonts w:hint="eastAsia"/>
              </w:rPr>
              <w:t xml:space="preserve">变更控制：■符合要求 </w:t>
            </w:r>
            <w:r>
              <w:rPr>
                <w:rFonts w:hint="eastAsia"/>
                <w:lang w:eastAsia="zh-CN"/>
              </w:rPr>
              <w:t>□</w:t>
            </w:r>
            <w:r>
              <w:rPr>
                <w:rFonts w:hint="eastAsia"/>
              </w:rPr>
              <w:t xml:space="preserve">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p>
          <w:p>
            <w:pPr>
              <w:shd w:val="clear" w:color="auto" w:fill="EBF1DE" w:themeFill="accent3" w:themeFillTint="32"/>
            </w:pPr>
            <w:r>
              <w:rPr>
                <w:rFonts w:hint="eastAsia"/>
              </w:rPr>
              <w:t>于</w:t>
            </w:r>
            <w:r>
              <w:rPr>
                <w:rFonts w:hint="eastAsia"/>
                <w:u w:val="single"/>
                <w:lang w:eastAsia="zh-CN"/>
              </w:rPr>
              <w:t>2022年03月06日</w:t>
            </w:r>
            <w:r>
              <w:rPr>
                <w:rFonts w:hint="eastAsia"/>
              </w:rPr>
              <w:t xml:space="preserve">进行了消防的演练；并总结了预案的可行性和有效性。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宋体" w:hAnsi="宋体" w:eastAsia="宋体" w:cs="宋体"/>
                <w:lang w:eastAsia="zh-CN"/>
              </w:rPr>
              <w:t>■</w:t>
            </w:r>
            <w:r>
              <w:rPr>
                <w:rFonts w:hint="eastAsia"/>
              </w:rPr>
              <w:t>定期（每年） ：</w:t>
            </w:r>
            <w:r>
              <w:rPr>
                <w:rFonts w:hint="eastAsia"/>
                <w:u w:val="single"/>
                <w:lang w:eastAsia="zh-CN"/>
              </w:rPr>
              <w:t>2022年7月26日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实施的检测：无</w:t>
            </w: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ascii="宋体" w:hAnsi="宋体"/>
                <w:szCs w:val="21"/>
                <w:u w:val="single"/>
                <w:lang w:eastAsia="zh-CN"/>
              </w:rPr>
              <w:t>2022年9月04 - 05日</w:t>
            </w:r>
            <w:r>
              <w:rPr>
                <w:rFonts w:hint="eastAsia"/>
              </w:rPr>
              <w:t>实施了环境管理体系内部审核，对环境管理体系的符合性和有效性进行了审核。内审发现的 1 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lang w:eastAsia="zh-CN"/>
              </w:rPr>
              <w:t>2022年9月16日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宋体" w:hAnsi="宋体" w:eastAsia="宋体" w:cs="宋体"/>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宋体" w:hAnsi="宋体" w:eastAsia="宋体" w:cs="宋体"/>
                <w:lang w:eastAsia="zh-CN"/>
              </w:rPr>
              <w:t>■</w:t>
            </w:r>
            <w:r>
              <w:rPr>
                <w:rFonts w:hint="eastAsia"/>
              </w:rPr>
              <w:t xml:space="preserve">内审不符合项   </w:t>
            </w:r>
            <w:r>
              <w:rPr>
                <w:rFonts w:hint="eastAsia" w:ascii="宋体" w:hAnsi="宋体" w:eastAsia="宋体" w:cs="宋体"/>
                <w:lang w:eastAsia="zh-CN"/>
              </w:rPr>
              <w:t>■</w:t>
            </w:r>
            <w:r>
              <w:rPr>
                <w:rFonts w:hint="eastAsia"/>
              </w:rPr>
              <w:t xml:space="preserve">外审不符合项  </w:t>
            </w:r>
            <w:r>
              <w:rPr>
                <w:rFonts w:hint="eastAsia" w:ascii="宋体" w:hAnsi="宋体" w:eastAsia="宋体" w:cs="宋体"/>
                <w:lang w:eastAsia="zh-CN"/>
              </w:rPr>
              <w:t>■</w:t>
            </w:r>
            <w:r>
              <w:rPr>
                <w:rFonts w:hint="eastAsia"/>
              </w:rPr>
              <w:t xml:space="preserve">管理评审   </w:t>
            </w:r>
            <w:r>
              <w:rPr>
                <w:rFonts w:hint="eastAsia" w:ascii="宋体" w:hAnsi="宋体" w:eastAsia="宋体" w:cs="宋体"/>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82"/>
            </w:pPr>
            <w:r>
              <w:rPr>
                <w:rFonts w:hint="eastAsia"/>
              </w:rPr>
              <w:t>最高管理者制定了文件化的职业健康安全管理体系方针</w:t>
            </w:r>
            <w:r>
              <w:rPr>
                <w:rFonts w:hint="eastAsia"/>
                <w:u w:val="single"/>
              </w:rPr>
              <w:t>“质量为本、满意服务；污染预防、全员环保；安全为天、珍爱生命；遵纪守法、持续改进”。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职业健康的主管部门是——综合部</w:t>
            </w:r>
          </w:p>
          <w:p>
            <w:r>
              <w:rPr>
                <w:rFonts w:hint="eastAsia"/>
              </w:rPr>
              <w:t>安全的主管部门是——综合部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员工代表是——李正友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火灾</w:t>
                  </w:r>
                </w:p>
              </w:tc>
              <w:tc>
                <w:tcPr>
                  <w:tcW w:w="39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触电</w:t>
                  </w:r>
                </w:p>
              </w:tc>
              <w:tc>
                <w:tcPr>
                  <w:tcW w:w="39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交通意外</w:t>
                  </w:r>
                </w:p>
              </w:tc>
              <w:tc>
                <w:tcPr>
                  <w:tcW w:w="3965" w:type="dxa"/>
                </w:tcPr>
                <w:p>
                  <w:r>
                    <w:rPr>
                      <w:rFonts w:hint="eastAsia" w:asciiTheme="minorEastAsia" w:hAnsiTheme="minorEastAsia" w:eastAsiaTheme="minorEastAsia"/>
                      <w:szCs w:val="21"/>
                    </w:rPr>
                    <w:t>通过管理方案和预案措施进行管理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  ■触电 □化学伤害  □噪声 □粉尘  □危险作业 □高低温  □危化品泄露 □压力容器爆炸  ■火灾  ■其他：</w:t>
            </w:r>
            <w:r>
              <w:rPr>
                <w:rFonts w:hint="eastAsia" w:ascii="宋体" w:hAnsi="宋体"/>
                <w:szCs w:val="21"/>
              </w:rPr>
              <w:t>意外交通伤害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职业健康安全目标</w:t>
                  </w:r>
                </w:p>
              </w:tc>
              <w:tc>
                <w:tcPr>
                  <w:tcW w:w="3136" w:type="dxa"/>
                  <w:shd w:val="clear" w:color="auto" w:fill="auto"/>
                </w:tcPr>
                <w:p>
                  <w:r>
                    <w:rPr>
                      <w:rFonts w:hint="eastAsia"/>
                    </w:rPr>
                    <w:t>控制措施</w:t>
                  </w:r>
                </w:p>
              </w:tc>
              <w:tc>
                <w:tcPr>
                  <w:tcW w:w="1350" w:type="dxa"/>
                  <w:shd w:val="clear" w:color="auto" w:fill="auto"/>
                </w:tcPr>
                <w:p>
                  <w:r>
                    <w:rPr>
                      <w:rFonts w:hint="eastAsia"/>
                    </w:rPr>
                    <w:t>责任部门</w:t>
                  </w:r>
                </w:p>
              </w:tc>
              <w:tc>
                <w:tcPr>
                  <w:tcW w:w="1774"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rPr>
                      <w:rFonts w:hint="eastAsia" w:ascii="宋体"/>
                    </w:rPr>
                    <w:t>火灾事故为0</w:t>
                  </w:r>
                </w:p>
              </w:tc>
              <w:tc>
                <w:tcPr>
                  <w:tcW w:w="3136" w:type="dxa"/>
                  <w:shd w:val="clear" w:color="auto" w:fill="auto"/>
                  <w:vAlign w:val="center"/>
                </w:tcPr>
                <w:p>
                  <w:pPr>
                    <w:rPr>
                      <w:rFonts w:ascii="宋体" w:hAnsi="宋体"/>
                      <w:lang w:val="en-GB"/>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rPr>
                      <w:rFonts w:ascii="宋体" w:hAnsi="宋体"/>
                      <w:lang w:val="en-GB"/>
                    </w:rPr>
                  </w:pPr>
                  <w:r>
                    <w:rPr>
                      <w:rFonts w:hint="eastAsia"/>
                    </w:rPr>
                    <w:t>综合部</w:t>
                  </w:r>
                </w:p>
              </w:tc>
              <w:tc>
                <w:tcPr>
                  <w:tcW w:w="1774" w:type="dxa"/>
                  <w:shd w:val="clear" w:color="auto" w:fill="auto"/>
                  <w:vAlign w:val="center"/>
                </w:tcPr>
                <w:p>
                  <w:pPr>
                    <w:jc w:val="center"/>
                    <w:rPr>
                      <w:rFonts w:ascii="宋体" w:hAnsi="宋体"/>
                      <w:lang w:val="en-GB"/>
                    </w:rPr>
                  </w:pPr>
                  <w:r>
                    <w:rPr>
                      <w:rFonts w:hint="eastAsia" w:ascii="宋体" w:hAnsi="宋体"/>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rPr>
                      <w:rFonts w:hint="eastAsia" w:ascii="宋体"/>
                    </w:rPr>
                    <w:t>重伤事故为0</w:t>
                  </w:r>
                </w:p>
              </w:tc>
              <w:tc>
                <w:tcPr>
                  <w:tcW w:w="3136" w:type="dxa"/>
                  <w:shd w:val="clear" w:color="auto" w:fill="auto"/>
                  <w:vAlign w:val="center"/>
                </w:tcPr>
                <w:p>
                  <w:pPr>
                    <w:rPr>
                      <w:rFonts w:ascii="宋体" w:hAnsi="宋体"/>
                      <w:lang w:val="en-GB"/>
                    </w:rPr>
                  </w:pPr>
                  <w:r>
                    <w:rPr>
                      <w:rFonts w:hint="eastAsia" w:asciiTheme="minorEastAsia" w:hAnsiTheme="minorEastAsia" w:eastAsiaTheme="minorEastAsia"/>
                      <w:szCs w:val="21"/>
                    </w:rPr>
                    <w:t>通过管理方案和预案措施进行管理</w:t>
                  </w:r>
                </w:p>
              </w:tc>
              <w:tc>
                <w:tcPr>
                  <w:tcW w:w="1350" w:type="dxa"/>
                  <w:shd w:val="clear" w:color="auto" w:fill="auto"/>
                  <w:vAlign w:val="center"/>
                </w:tcPr>
                <w:p>
                  <w:pPr>
                    <w:rPr>
                      <w:rFonts w:ascii="宋体" w:hAnsi="宋体"/>
                      <w:lang w:val="en-GB"/>
                    </w:rPr>
                  </w:pPr>
                  <w:r>
                    <w:rPr>
                      <w:rFonts w:hint="eastAsia"/>
                    </w:rPr>
                    <w:t>综合部</w:t>
                  </w:r>
                </w:p>
              </w:tc>
              <w:tc>
                <w:tcPr>
                  <w:tcW w:w="1774" w:type="dxa"/>
                  <w:shd w:val="clear" w:color="auto" w:fill="auto"/>
                  <w:vAlign w:val="center"/>
                </w:tcPr>
                <w:p>
                  <w:pPr>
                    <w:jc w:val="center"/>
                    <w:rPr>
                      <w:rFonts w:ascii="宋体" w:hAnsi="宋体"/>
                      <w:lang w:val="en-GB"/>
                    </w:rPr>
                  </w:pPr>
                  <w:r>
                    <w:rPr>
                      <w:rFonts w:hint="eastAsia" w:ascii="宋体" w:hAnsi="宋体"/>
                    </w:rPr>
                    <w:t>未发生重伤事故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3"/>
                  </w:p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380  </w:t>
            </w:r>
            <w:r>
              <w:rPr>
                <w:rFonts w:hint="eastAsia"/>
              </w:rPr>
              <w:t>平方米；经营场地</w:t>
            </w:r>
            <w:r>
              <w:rPr>
                <w:rFonts w:hint="eastAsia"/>
                <w:u w:val="single"/>
              </w:rPr>
              <w:t xml:space="preserve">  1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电脑、打印机、空调等办公设备</w:t>
            </w:r>
          </w:p>
          <w:p>
            <w:pPr>
              <w:spacing w:line="400" w:lineRule="exact"/>
              <w:rPr>
                <w:u w:val="single"/>
              </w:rPr>
            </w:pPr>
            <w:r>
              <w:rPr>
                <w:rFonts w:hint="eastAsia"/>
              </w:rPr>
              <w:t>主要安全装置有：</w:t>
            </w:r>
            <w:r>
              <w:rPr>
                <w:rFonts w:hint="eastAsia"/>
                <w:szCs w:val="21"/>
                <w:u w:val="single"/>
              </w:rPr>
              <w:t>配电箱、空开</w:t>
            </w:r>
          </w:p>
          <w:p>
            <w:r>
              <w:rPr>
                <w:rFonts w:hint="eastAsia"/>
              </w:rPr>
              <w:t>特种设备：</w:t>
            </w:r>
            <w:r>
              <w:rPr>
                <w:rFonts w:hint="eastAsia" w:ascii="Wingdings" w:hAnsi="Wingdings"/>
                <w:u w:val="single"/>
              </w:rPr>
              <w:t>无</w:t>
            </w:r>
            <w:r>
              <w:rPr>
                <w:rFonts w:hint="eastAsia"/>
              </w:rPr>
              <w:t xml:space="preserve"> </w:t>
            </w:r>
          </w:p>
          <w:p>
            <w:r>
              <w:rPr>
                <w:rFonts w:hint="eastAsia"/>
              </w:rPr>
              <w:t>辅助场所：</w:t>
            </w:r>
            <w:r>
              <w:rPr>
                <w:rFonts w:hint="eastAsia" w:ascii="Wingdings" w:hAnsi="Wingdings"/>
                <w:u w:val="single"/>
              </w:rPr>
              <w:t>无</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■招聘 </w:t>
            </w:r>
            <w:r>
              <w:rPr>
                <w:rFonts w:hint="eastAsia"/>
                <w:lang w:eastAsia="zh-CN"/>
              </w:rPr>
              <w:t>□</w:t>
            </w:r>
            <w:r>
              <w:rPr>
                <w:rFonts w:hint="eastAsia"/>
              </w:rPr>
              <w:t xml:space="preserve">换岗 ■培训  ■考核   </w:t>
            </w:r>
            <w:r>
              <w:rPr>
                <w:rFonts w:hint="eastAsia"/>
                <w:lang w:eastAsia="zh-CN"/>
              </w:rPr>
              <w:t>□</w:t>
            </w:r>
            <w:r>
              <w:rPr>
                <w:rFonts w:hint="eastAsia"/>
              </w:rPr>
              <w:t xml:space="preserve">辅导  </w:t>
            </w:r>
            <w:r>
              <w:rPr>
                <w:rFonts w:hint="eastAsia"/>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rPr>
              <w:t>无</w:t>
            </w:r>
          </w:p>
          <w:p>
            <w:r>
              <w:rPr>
                <w:rFonts w:hint="eastAsia"/>
              </w:rPr>
              <w:t>特种设备作业人员：无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 xml:space="preserve">内部沟通方式：■文件发放 ■会议 ■标语  ■展板   </w:t>
            </w:r>
            <w:r>
              <w:rPr>
                <w:rFonts w:hint="eastAsia"/>
                <w:lang w:eastAsia="zh-CN"/>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无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 □绝缘用具检测</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color w:val="000000" w:themeColor="text1"/>
                <w:highlight w:val="yellow"/>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color w:val="000000" w:themeColor="text1"/>
                <w:highlight w:val="yellow"/>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■废物回收 ■最终处置 </w:t>
            </w:r>
            <w:r>
              <w:rPr>
                <w:rFonts w:hint="eastAsia"/>
                <w:lang w:eastAsia="zh-CN"/>
              </w:rPr>
              <w:t>□</w:t>
            </w:r>
            <w:r>
              <w:rPr>
                <w:rFonts w:hint="eastAsia"/>
              </w:rPr>
              <w:t>其他</w:t>
            </w:r>
          </w:p>
          <w:p>
            <w:r>
              <w:rPr>
                <w:rFonts w:hint="eastAsia"/>
              </w:rPr>
              <w:t xml:space="preserve">交付后活动：■符合要求 </w:t>
            </w:r>
            <w:r>
              <w:rPr>
                <w:rFonts w:hint="eastAsia"/>
                <w:lang w:eastAsia="zh-CN"/>
              </w:rPr>
              <w:t>□</w:t>
            </w:r>
            <w:r>
              <w:rPr>
                <w:rFonts w:hint="eastAsia"/>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于</w:t>
            </w:r>
            <w:r>
              <w:rPr>
                <w:rFonts w:hint="eastAsia"/>
                <w:u w:val="single"/>
                <w:lang w:eastAsia="zh-CN"/>
              </w:rPr>
              <w:t>2022年03月06日</w:t>
            </w:r>
            <w:r>
              <w:rPr>
                <w:rFonts w:hint="eastAsia"/>
              </w:rPr>
              <w:t xml:space="preserve">进行了消防的演练；并总结了预案的可行性和有效性。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宋体" w:hAnsi="宋体" w:eastAsia="宋体" w:cs="宋体"/>
                <w:lang w:eastAsia="zh-CN"/>
              </w:rPr>
              <w:t>■</w:t>
            </w:r>
            <w:r>
              <w:rPr>
                <w:rFonts w:hint="eastAsia"/>
              </w:rPr>
              <w:t>定期（每年） ：</w:t>
            </w:r>
            <w:r>
              <w:rPr>
                <w:rFonts w:hint="eastAsia"/>
                <w:u w:val="single"/>
                <w:lang w:eastAsia="zh-CN"/>
              </w:rPr>
              <w:t>2022年7月26日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2022年9月04 - 05日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lang w:eastAsia="zh-CN"/>
              </w:rPr>
              <w:t>2022年9月16日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宋体" w:hAnsi="宋体" w:eastAsia="宋体" w:cs="宋体"/>
                <w:lang w:eastAsia="zh-CN"/>
              </w:rPr>
              <w:t>■</w:t>
            </w:r>
            <w:bookmarkStart w:id="30" w:name="_GoBack"/>
            <w:bookmarkEnd w:id="30"/>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2BC5106A"/>
    <w:rsid w:val="452348D4"/>
    <w:rsid w:val="74B10C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18686</Words>
  <Characters>19671</Characters>
  <Lines>150</Lines>
  <Paragraphs>42</Paragraphs>
  <TotalTime>1</TotalTime>
  <ScaleCrop>false</ScaleCrop>
  <LinksUpToDate>false</LinksUpToDate>
  <CharactersWithSpaces>21505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2022-09-24T00:51:15Z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