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0636-2022-EnMS</w:t>
      </w:r>
      <w:bookmarkEnd w:id="0"/>
    </w:p>
    <w:p>
      <w:pPr>
        <w:jc w:val="left"/>
        <w:rPr>
          <w:rFonts w:hint="eastAsia"/>
          <w:sz w:val="32"/>
          <w:szCs w:val="32"/>
        </w:rPr>
      </w:pPr>
      <w:r>
        <w:rPr>
          <w:sz w:val="32"/>
          <w:szCs w:val="32"/>
        </w:rPr>
        <w:drawing>
          <wp:anchor distT="0" distB="0" distL="114300" distR="114300" simplePos="0" relativeHeight="251662336" behindDoc="1" locked="0" layoutInCell="1" allowOverlap="1">
            <wp:simplePos x="0" y="0"/>
            <wp:positionH relativeFrom="column">
              <wp:posOffset>2303145</wp:posOffset>
            </wp:positionH>
            <wp:positionV relativeFrom="paragraph">
              <wp:posOffset>544830</wp:posOffset>
            </wp:positionV>
            <wp:extent cx="1492885" cy="1501140"/>
            <wp:effectExtent l="0" t="0" r="5715" b="1016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中国能源建设集团南京线路器材有限公司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中国能源建设集团南京线路器材有限公司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南京市六合区龙池街道龙华西路9号</w:t>
            </w:r>
          </w:p>
        </w:tc>
        <w:tc>
          <w:tcPr>
            <w:tcW w:w="1242" w:type="dxa"/>
            <w:vMerge w:val="restart"/>
            <w:vAlign w:val="center"/>
          </w:tcPr>
          <w:p>
            <w:r>
              <w:rPr>
                <w:rFonts w:hint="eastAsia"/>
              </w:rPr>
              <w:t>邮编</w:t>
            </w:r>
          </w:p>
        </w:tc>
        <w:tc>
          <w:tcPr>
            <w:tcW w:w="1771" w:type="dxa"/>
            <w:vAlign w:val="top"/>
          </w:tcPr>
          <w:p>
            <w:r>
              <w:t>211500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南京市六合区龙池街道龙华西路9号</w:t>
            </w:r>
          </w:p>
        </w:tc>
        <w:tc>
          <w:tcPr>
            <w:tcW w:w="1242" w:type="dxa"/>
            <w:vMerge w:val="continue"/>
            <w:vAlign w:val="center"/>
          </w:tcPr>
          <w:p/>
        </w:tc>
        <w:tc>
          <w:tcPr>
            <w:tcW w:w="1771" w:type="dxa"/>
            <w:vAlign w:val="top"/>
          </w:tcPr>
          <w:p>
            <w:r>
              <w:t>211500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杜波</w:t>
            </w:r>
          </w:p>
        </w:tc>
        <w:tc>
          <w:tcPr>
            <w:tcW w:w="1313" w:type="dxa"/>
            <w:vAlign w:val="center"/>
          </w:tcPr>
          <w:p>
            <w:r>
              <w:rPr>
                <w:rFonts w:hint="eastAsia"/>
              </w:rPr>
              <w:t>电话.</w:t>
            </w:r>
          </w:p>
        </w:tc>
        <w:tc>
          <w:tcPr>
            <w:tcW w:w="2180" w:type="dxa"/>
            <w:vAlign w:val="center"/>
          </w:tcPr>
          <w:p>
            <w:r>
              <w:t>17368016116</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陈雷</w:t>
            </w:r>
          </w:p>
        </w:tc>
        <w:tc>
          <w:tcPr>
            <w:tcW w:w="1313" w:type="dxa"/>
            <w:vAlign w:val="center"/>
          </w:tcPr>
          <w:p>
            <w:r>
              <w:rPr>
                <w:rFonts w:hint="eastAsia"/>
              </w:rPr>
              <w:t>管理者代表</w:t>
            </w:r>
          </w:p>
        </w:tc>
        <w:tc>
          <w:tcPr>
            <w:tcW w:w="2180" w:type="dxa"/>
            <w:vAlign w:val="top"/>
          </w:tcPr>
          <w:p>
            <w:r>
              <w:t>陆桂来</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vAlign w:val="top"/>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原材料检验→熔炼→浇注→开型→去浇冒口→检验→加工→装配→入库</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2022年09月18日 下午至2022年09月20日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Add1"/>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 xml:space="preserve">/ISO 9001:2015  </w:t>
            </w:r>
            <w:bookmarkStart w:id="12" w:name="QJ勾选"/>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 xml:space="preserve">/ISO 14001:2015 </w:t>
            </w:r>
            <w:bookmarkStart w:id="14" w:name="S勾选Add1"/>
            <w:r>
              <w:rPr>
                <w:rFonts w:hint="eastAsia"/>
                <w:lang w:val="de-DE"/>
              </w:rPr>
              <w:t>□</w:t>
            </w:r>
            <w:bookmarkEnd w:id="14"/>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RB</w:t>
            </w:r>
            <w:r>
              <w:rPr>
                <w:rFonts w:hint="eastAsia" w:ascii="Times New Roman" w:hAnsi="Times New Roman" w:eastAsia="宋体" w:cs="Times New Roman"/>
                <w:lang w:val="de-DE"/>
              </w:rPr>
              <w:t xml:space="preserve">/T </w:t>
            </w:r>
            <w:r>
              <w:rPr>
                <w:rFonts w:hint="eastAsia" w:ascii="Times New Roman" w:hAnsi="Times New Roman" w:eastAsia="宋体" w:cs="Times New Roman"/>
              </w:rPr>
              <w:t xml:space="preserve"> 119-2015 能源管理体系 机械制造企业认证要求</w:t>
            </w:r>
            <w:r>
              <w:rPr>
                <w:rFonts w:hint="eastAsia" w:ascii="Times New Roman" w:hAnsi="Times New Roman" w:eastAsia="宋体" w:cs="Times New Roman"/>
                <w:lang w:val="de-DE"/>
              </w:rPr>
              <w:t xml:space="preserve"> </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初审Add1"/>
            <w:r>
              <w:rPr>
                <w:rFonts w:hint="eastAsia"/>
              </w:rPr>
              <w:t>■</w:t>
            </w:r>
            <w:bookmarkEnd w:id="15"/>
            <w:r>
              <w:rPr>
                <w:rFonts w:hint="eastAsia"/>
              </w:rPr>
              <w:t>初审二阶段</w:t>
            </w:r>
            <w:bookmarkStart w:id="16" w:name="监督勾选"/>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default" w:ascii="宋体" w:hAnsi="Times New Roman" w:eastAsia="宋体" w:cs="Times New Roman"/>
                <w:b/>
                <w:color w:val="0000FF"/>
                <w:kern w:val="2"/>
                <w:sz w:val="21"/>
                <w:szCs w:val="21"/>
                <w:lang w:val="en-US" w:eastAsia="zh-CN" w:bidi="ar-SA"/>
              </w:rPr>
            </w:pPr>
            <w:r>
              <w:rPr>
                <w:rFonts w:hint="eastAsia" w:ascii="宋体"/>
                <w:b/>
                <w:color w:val="0000FF"/>
                <w:szCs w:val="21"/>
                <w:lang w:val="en-US" w:eastAsia="zh-CN"/>
              </w:rPr>
              <w:t>河北省石家庄市/保定市/江苏省无锡市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w:t>
            </w:r>
            <w:r>
              <w:rPr>
                <w:rFonts w:hint="eastAsia" w:ascii="宋体"/>
                <w:b/>
                <w:color w:val="0000FF"/>
                <w:szCs w:val="21"/>
              </w:rPr>
              <w:sym w:font="Wingdings 2" w:char="0052"/>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0" w:name="审核范围"/>
            <w:r>
              <w:t>电力金具及电力线路附件生产所涉及的能源管理活动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2.7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2"/>
        <w:gridCol w:w="1355"/>
        <w:gridCol w:w="1673"/>
        <w:gridCol w:w="1936"/>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62" w:type="dxa"/>
            <w:shd w:val="clear" w:color="auto" w:fill="F3F3F3"/>
            <w:tcMar>
              <w:left w:w="57" w:type="dxa"/>
              <w:right w:w="57" w:type="dxa"/>
            </w:tcMar>
          </w:tcPr>
          <w:p>
            <w:r>
              <w:rPr>
                <w:rFonts w:hint="eastAsia"/>
              </w:rPr>
              <w:t>组织名称及注册场所地址</w:t>
            </w:r>
          </w:p>
        </w:tc>
        <w:tc>
          <w:tcPr>
            <w:tcW w:w="1355" w:type="dxa"/>
            <w:shd w:val="clear" w:color="auto" w:fill="F3F3F3"/>
            <w:tcMar>
              <w:left w:w="57" w:type="dxa"/>
              <w:right w:w="57" w:type="dxa"/>
            </w:tcMar>
          </w:tcPr>
          <w:p>
            <w:r>
              <w:rPr>
                <w:rFonts w:hint="eastAsia"/>
              </w:rPr>
              <w:t>经营场所的地址</w:t>
            </w:r>
          </w:p>
          <w:p>
            <w:r>
              <w:rPr>
                <w:rFonts w:hint="eastAsia"/>
              </w:rPr>
              <w:t>（多现场和临时现场）</w:t>
            </w:r>
          </w:p>
        </w:tc>
        <w:tc>
          <w:tcPr>
            <w:tcW w:w="1673" w:type="dxa"/>
            <w:shd w:val="clear" w:color="auto" w:fill="F3F3F3"/>
            <w:tcMar>
              <w:left w:w="57" w:type="dxa"/>
              <w:right w:w="57" w:type="dxa"/>
            </w:tcMar>
          </w:tcPr>
          <w:p>
            <w:r>
              <w:rPr>
                <w:rFonts w:hint="eastAsia"/>
              </w:rPr>
              <w:t>员工人数</w:t>
            </w:r>
          </w:p>
        </w:tc>
        <w:tc>
          <w:tcPr>
            <w:tcW w:w="1936"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62"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中国能源建设集团南京线路器材有限公司</w:t>
            </w:r>
            <w:r>
              <w:rPr>
                <w:rFonts w:hint="eastAsia"/>
                <w:sz w:val="21"/>
                <w:szCs w:val="21"/>
                <w:lang w:val="en-US" w:eastAsia="zh-CN"/>
              </w:rPr>
              <w:t>/</w:t>
            </w:r>
            <w:r>
              <w:rPr>
                <w:sz w:val="21"/>
                <w:szCs w:val="21"/>
              </w:rPr>
              <w:t>南京市六合区龙池街道龙华西路9号</w:t>
            </w:r>
          </w:p>
        </w:tc>
        <w:tc>
          <w:tcPr>
            <w:tcW w:w="1355"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南京市六合区龙池街道龙华西路9号</w:t>
            </w:r>
          </w:p>
        </w:tc>
        <w:tc>
          <w:tcPr>
            <w:tcW w:w="1673" w:type="dxa"/>
            <w:vAlign w:val="center"/>
          </w:tcPr>
          <w:p>
            <w:pPr>
              <w:spacing w:before="40" w:after="40"/>
              <w:rPr>
                <w:rFonts w:hint="default" w:ascii="Times New Roman" w:hAnsi="Times New Roman" w:eastAsia="宋体" w:cs="Times New Roman"/>
                <w:kern w:val="2"/>
                <w:sz w:val="21"/>
                <w:szCs w:val="21"/>
                <w:lang w:val="en-US" w:eastAsia="ja-JP" w:bidi="ar-SA"/>
              </w:rPr>
            </w:pPr>
            <w:r>
              <w:rPr>
                <w:rFonts w:hint="eastAsia" w:ascii="Times New Roman" w:hAnsi="Times New Roman" w:eastAsia="宋体" w:cs="Times New Roman"/>
                <w:sz w:val="21"/>
                <w:szCs w:val="21"/>
                <w:highlight w:val="none"/>
                <w:lang w:val="en-US" w:eastAsia="zh-CN"/>
              </w:rPr>
              <w:t>总人数400人（能源体系150人）</w:t>
            </w:r>
          </w:p>
        </w:tc>
        <w:tc>
          <w:tcPr>
            <w:tcW w:w="1936" w:type="dxa"/>
            <w:vAlign w:val="center"/>
          </w:tcPr>
          <w:p>
            <w:pPr>
              <w:pStyle w:val="23"/>
              <w:rPr>
                <w:rFonts w:ascii="Times New Roman" w:hAnsi="Times New Roman" w:eastAsia="黑体" w:cs="Arial"/>
                <w:kern w:val="2"/>
                <w:sz w:val="21"/>
                <w:szCs w:val="21"/>
                <w:lang w:val="en-US" w:eastAsia="ja-JP" w:bidi="ar-SA"/>
              </w:rPr>
            </w:pPr>
            <w:r>
              <w:t>电力金具及电力线路附件生产所涉及的能源管理活动</w:t>
            </w:r>
          </w:p>
        </w:tc>
        <w:tc>
          <w:tcPr>
            <w:tcW w:w="1751" w:type="dxa"/>
            <w:vAlign w:val="center"/>
          </w:tcPr>
          <w:p>
            <w:pPr>
              <w:spacing w:before="40" w:after="40"/>
              <w:rPr>
                <w:rFonts w:hint="eastAsia"/>
                <w:lang w:val="en-US" w:eastAsia="zh-CN"/>
              </w:rPr>
            </w:pPr>
            <w:r>
              <w:rPr>
                <w:rFonts w:hint="eastAsia"/>
                <w:lang w:val="en-US" w:eastAsia="zh-CN"/>
              </w:rPr>
              <w:t>GB/T23331-2020</w:t>
            </w:r>
          </w:p>
          <w:p>
            <w:pPr>
              <w:pStyle w:val="2"/>
              <w:rPr>
                <w:rFonts w:ascii="Times New Roman" w:hAnsi="Times New Roman" w:eastAsia="黑体" w:cs="Times New Roman"/>
                <w:kern w:val="2"/>
                <w:sz w:val="21"/>
                <w:szCs w:val="21"/>
                <w:lang w:val="en-US" w:eastAsia="ja-JP" w:bidi="ar-SA"/>
              </w:rPr>
            </w:pPr>
            <w:r>
              <w:rPr>
                <w:rFonts w:hint="eastAsia" w:eastAsia="黑体"/>
                <w:szCs w:val="21"/>
                <w:lang w:val="en-US" w:eastAsia="zh-CN"/>
              </w:rPr>
              <w:t>RB/T119-2015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62" w:type="dxa"/>
            <w:vAlign w:val="center"/>
          </w:tcPr>
          <w:p>
            <w:pPr>
              <w:rPr>
                <w:lang w:eastAsia="ja-JP"/>
              </w:rPr>
            </w:pPr>
          </w:p>
        </w:tc>
        <w:tc>
          <w:tcPr>
            <w:tcW w:w="1355" w:type="dxa"/>
            <w:vAlign w:val="center"/>
          </w:tcPr>
          <w:p>
            <w:pPr>
              <w:rPr>
                <w:lang w:eastAsia="ja-JP"/>
              </w:rPr>
            </w:pPr>
          </w:p>
        </w:tc>
        <w:tc>
          <w:tcPr>
            <w:tcW w:w="1673" w:type="dxa"/>
            <w:vAlign w:val="center"/>
          </w:tcPr>
          <w:p>
            <w:pPr>
              <w:rPr>
                <w:lang w:eastAsia="ja-JP"/>
              </w:rPr>
            </w:pPr>
          </w:p>
        </w:tc>
        <w:tc>
          <w:tcPr>
            <w:tcW w:w="1936"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62" w:type="dxa"/>
            <w:vAlign w:val="center"/>
          </w:tcPr>
          <w:p>
            <w:pPr>
              <w:rPr>
                <w:lang w:eastAsia="ja-JP"/>
              </w:rPr>
            </w:pPr>
          </w:p>
        </w:tc>
        <w:tc>
          <w:tcPr>
            <w:tcW w:w="1355" w:type="dxa"/>
            <w:vAlign w:val="center"/>
          </w:tcPr>
          <w:p>
            <w:pPr>
              <w:rPr>
                <w:lang w:eastAsia="ja-JP"/>
              </w:rPr>
            </w:pPr>
          </w:p>
        </w:tc>
        <w:tc>
          <w:tcPr>
            <w:tcW w:w="1673" w:type="dxa"/>
            <w:vAlign w:val="center"/>
          </w:tcPr>
          <w:p>
            <w:pPr>
              <w:rPr>
                <w:lang w:eastAsia="ja-JP"/>
              </w:rPr>
            </w:pPr>
          </w:p>
        </w:tc>
        <w:tc>
          <w:tcPr>
            <w:tcW w:w="1936"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62" w:type="dxa"/>
            <w:vAlign w:val="center"/>
          </w:tcPr>
          <w:p>
            <w:pPr>
              <w:rPr>
                <w:lang w:eastAsia="ja-JP"/>
              </w:rPr>
            </w:pPr>
          </w:p>
        </w:tc>
        <w:tc>
          <w:tcPr>
            <w:tcW w:w="1355" w:type="dxa"/>
            <w:vAlign w:val="center"/>
          </w:tcPr>
          <w:p>
            <w:pPr>
              <w:rPr>
                <w:lang w:eastAsia="ja-JP"/>
              </w:rPr>
            </w:pPr>
          </w:p>
        </w:tc>
        <w:tc>
          <w:tcPr>
            <w:tcW w:w="1673" w:type="dxa"/>
            <w:vAlign w:val="center"/>
          </w:tcPr>
          <w:p>
            <w:pPr>
              <w:rPr>
                <w:lang w:eastAsia="ja-JP"/>
              </w:rPr>
            </w:pPr>
          </w:p>
        </w:tc>
        <w:tc>
          <w:tcPr>
            <w:tcW w:w="1936"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62" w:type="dxa"/>
            <w:vAlign w:val="center"/>
          </w:tcPr>
          <w:p>
            <w:pPr>
              <w:rPr>
                <w:lang w:eastAsia="ja-JP"/>
              </w:rPr>
            </w:pPr>
          </w:p>
        </w:tc>
        <w:tc>
          <w:tcPr>
            <w:tcW w:w="1355" w:type="dxa"/>
            <w:vAlign w:val="center"/>
          </w:tcPr>
          <w:p>
            <w:pPr>
              <w:rPr>
                <w:lang w:eastAsia="ja-JP"/>
              </w:rPr>
            </w:pPr>
          </w:p>
        </w:tc>
        <w:tc>
          <w:tcPr>
            <w:tcW w:w="1673" w:type="dxa"/>
            <w:vAlign w:val="center"/>
          </w:tcPr>
          <w:p>
            <w:pPr>
              <w:rPr>
                <w:lang w:eastAsia="ja-JP"/>
              </w:rPr>
            </w:pPr>
          </w:p>
        </w:tc>
        <w:tc>
          <w:tcPr>
            <w:tcW w:w="1936"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2022-N1EnMS-1024421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徐申</w:t>
            </w:r>
          </w:p>
        </w:tc>
        <w:tc>
          <w:tcPr>
            <w:tcW w:w="1089" w:type="dxa"/>
            <w:vAlign w:val="center"/>
          </w:tcPr>
          <w:p>
            <w:r>
              <w:t>组员</w:t>
            </w:r>
          </w:p>
        </w:tc>
        <w:tc>
          <w:tcPr>
            <w:tcW w:w="711" w:type="dxa"/>
            <w:vAlign w:val="center"/>
          </w:tcPr>
          <w:p>
            <w:r>
              <w:t>男</w:t>
            </w:r>
          </w:p>
        </w:tc>
        <w:tc>
          <w:tcPr>
            <w:tcW w:w="3870" w:type="dxa"/>
            <w:vAlign w:val="center"/>
          </w:tcPr>
          <w:p>
            <w:r>
              <w:t>ISC-JSZJ-526</w:t>
            </w:r>
          </w:p>
          <w:p>
            <w:r>
              <w:t>无锡先锋电机有限公司</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982345" cy="306070"/>
                  <wp:effectExtent l="0" t="0" r="0" b="1143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0607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A3"/>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生产管理部  </w:t>
            </w:r>
            <w:r>
              <w:rPr>
                <w:rFonts w:hint="eastAsia"/>
              </w:rPr>
              <w:sym w:font="Wingdings 2" w:char="0052"/>
            </w:r>
            <w:r>
              <w:rPr>
                <w:rFonts w:hint="eastAsia"/>
              </w:rPr>
              <w:t>能源管理团队</w:t>
            </w:r>
            <w:r>
              <w:rPr>
                <w:rFonts w:hint="eastAsia"/>
                <w:lang w:eastAsia="zh-CN"/>
              </w:rPr>
              <w:t>——</w:t>
            </w:r>
            <w:r>
              <w:rPr>
                <w:rFonts w:hint="eastAsia"/>
                <w:lang w:val="en-US" w:eastAsia="zh-CN"/>
              </w:rPr>
              <w:t>生产管理部</w:t>
            </w:r>
          </w:p>
          <w:p>
            <w:pPr>
              <w:shd w:val="clear" w:color="auto" w:fill="EBF1DE" w:themeFill="accent3" w:themeFillTint="32"/>
              <w:rPr>
                <w:rFonts w:hint="default" w:eastAsia="宋体"/>
                <w:lang w:val="en-US" w:eastAsia="zh-CN"/>
              </w:rPr>
            </w:pPr>
            <w:r>
              <w:rPr>
                <w:rFonts w:hint="eastAsia"/>
              </w:rPr>
              <w:t>能源管理者代表是——</w:t>
            </w:r>
            <w:r>
              <w:rPr>
                <w:rFonts w:hint="eastAsia"/>
                <w:highlight w:val="none"/>
                <w:lang w:val="en-US" w:eastAsia="zh-CN"/>
              </w:rPr>
              <w:t xml:space="preserve">陆桂来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rPr>
                <w:rFonts w:hint="default" w:eastAsia="宋体"/>
                <w:lang w:val="en-US" w:eastAsia="zh-CN"/>
              </w:rPr>
            </w:pPr>
            <w:r>
              <w:rPr>
                <w:rFonts w:hint="eastAsia"/>
              </w:rPr>
              <w:t>□蒸汽</w:t>
            </w:r>
            <w:r>
              <w:rPr>
                <w:rFonts w:hint="eastAsia"/>
                <w:lang w:val="en-US" w:eastAsia="zh-CN"/>
              </w:rPr>
              <w:t xml:space="preserve">  </w:t>
            </w:r>
            <w:r>
              <w:rPr>
                <w:rFonts w:hint="eastAsia"/>
              </w:rPr>
              <w:sym w:font="Wingdings 2" w:char="0052"/>
            </w:r>
            <w:r>
              <w:rPr>
                <w:rFonts w:hint="eastAsia"/>
              </w:rPr>
              <w:t>天然气</w:t>
            </w:r>
            <w:r>
              <w:rPr>
                <w:rFonts w:hint="eastAsia"/>
                <w:lang w:val="en-US" w:eastAsia="zh-CN"/>
              </w:rPr>
              <w:t xml:space="preserve">  </w:t>
            </w:r>
            <w:r>
              <w:rPr>
                <w:rFonts w:hint="eastAsia"/>
              </w:rPr>
              <w:t>□燃料油</w:t>
            </w:r>
            <w:r>
              <w:rPr>
                <w:rFonts w:hint="eastAsia"/>
                <w:lang w:val="en-US" w:eastAsia="zh-CN"/>
              </w:rPr>
              <w:t xml:space="preserve">  </w:t>
            </w:r>
            <w:r>
              <w:rPr>
                <w:rFonts w:hint="eastAsia"/>
              </w:rPr>
              <w:sym w:font="Wingdings 2" w:char="00A3"/>
            </w:r>
            <w:r>
              <w:rPr>
                <w:rFonts w:hint="eastAsia"/>
              </w:rPr>
              <w:t>燃料气</w:t>
            </w:r>
            <w:r>
              <w:rPr>
                <w:rFonts w:hint="eastAsia"/>
                <w:lang w:val="en-US" w:eastAsia="zh-CN"/>
              </w:rPr>
              <w:t xml:space="preserve"> </w:t>
            </w:r>
            <w:r>
              <w:rPr>
                <w:rFonts w:hint="eastAsia"/>
              </w:rPr>
              <w:sym w:font="Wingdings 2" w:char="0052"/>
            </w:r>
            <w:r>
              <w:rPr>
                <w:rFonts w:hint="eastAsia"/>
              </w:rPr>
              <w:t>电力</w:t>
            </w:r>
            <w:r>
              <w:rPr>
                <w:rFonts w:hint="eastAsia"/>
                <w:lang w:val="en-US" w:eastAsia="zh-CN"/>
              </w:rPr>
              <w:t xml:space="preserve">  </w:t>
            </w:r>
            <w:r>
              <w:rPr>
                <w:rFonts w:hint="eastAsia"/>
              </w:rPr>
              <w:sym w:font="Wingdings 2" w:char="00A3"/>
            </w:r>
            <w:r>
              <w:rPr>
                <w:rFonts w:hint="eastAsia"/>
              </w:rPr>
              <w:t>氮气□风</w:t>
            </w:r>
            <w:r>
              <w:rPr>
                <w:rFonts w:hint="eastAsia"/>
              </w:rPr>
              <w:sym w:font="Wingdings 2" w:char="0052"/>
            </w:r>
            <w:r>
              <w:rPr>
                <w:rFonts w:hint="eastAsia"/>
              </w:rPr>
              <w:t>新鲜水□各种品质水</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叉车用柴油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default" w:eastAsia="宋体"/>
                <w:lang w:val="en-US" w:eastAsia="zh-CN"/>
              </w:rPr>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2022.7</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2021年</w:t>
                  </w:r>
                  <w:r>
                    <w:rPr>
                      <w:rFonts w:hint="eastAsia" w:ascii="宋体" w:hAnsi="宋体"/>
                      <w:lang w:eastAsia="zh-CN"/>
                    </w:rPr>
                    <w:t>）</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sz w:val="21"/>
                      <w:szCs w:val="21"/>
                    </w:rPr>
                    <w:t>综合能耗，</w:t>
                  </w:r>
                  <w:r>
                    <w:rPr>
                      <w:rFonts w:hint="eastAsia" w:ascii="宋体" w:hAnsi="宋体"/>
                      <w:sz w:val="21"/>
                      <w:szCs w:val="21"/>
                      <w:lang w:val="en-US" w:eastAsia="zh-CN"/>
                    </w:rPr>
                    <w:t>1170t</w:t>
                  </w:r>
                  <w:r>
                    <w:rPr>
                      <w:rFonts w:hint="eastAsia" w:ascii="宋体" w:hAnsi="宋体"/>
                      <w:sz w:val="21"/>
                      <w:szCs w:val="21"/>
                    </w:rPr>
                    <w:t>ce</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综合办/生技部</w:t>
                  </w:r>
                </w:p>
              </w:tc>
              <w:tc>
                <w:tcPr>
                  <w:tcW w:w="2797"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lang w:val="en-US" w:eastAsia="zh-CN"/>
                    </w:rPr>
                    <w:t>实际完成</w:t>
                  </w:r>
                  <w:r>
                    <w:rPr>
                      <w:rFonts w:hint="eastAsia" w:ascii="宋体" w:hAnsi="宋体"/>
                      <w:sz w:val="21"/>
                      <w:szCs w:val="21"/>
                      <w:lang w:val="en-US" w:eastAsia="zh-CN"/>
                    </w:rPr>
                    <w:t>1161.458 t</w:t>
                  </w:r>
                  <w:r>
                    <w:rPr>
                      <w:rFonts w:hint="eastAsia" w:ascii="宋体" w:hAnsi="宋体"/>
                      <w:sz w:val="21"/>
                      <w:szCs w:val="21"/>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jc w:val="left"/>
                    <w:rPr>
                      <w:rFonts w:ascii="Times New Roman" w:hAnsi="Times New Roman" w:eastAsia="宋体" w:cs="Times New Roman"/>
                      <w:kern w:val="2"/>
                      <w:sz w:val="21"/>
                      <w:szCs w:val="24"/>
                      <w:highlight w:val="yellow"/>
                      <w:lang w:val="en-US" w:eastAsia="zh-CN" w:bidi="ar-SA"/>
                    </w:rPr>
                  </w:pPr>
                  <w:r>
                    <w:rPr>
                      <w:rFonts w:hint="eastAsia" w:ascii="宋体" w:hAnsi="宋体"/>
                      <w:sz w:val="21"/>
                      <w:szCs w:val="21"/>
                    </w:rPr>
                    <w:t>单位产品综合能耗</w:t>
                  </w:r>
                  <w:r>
                    <w:rPr>
                      <w:rFonts w:hint="eastAsia" w:ascii="宋体" w:hAnsi="宋体"/>
                      <w:sz w:val="21"/>
                      <w:szCs w:val="21"/>
                      <w:lang w:val="en-US" w:eastAsia="zh-CN"/>
                    </w:rPr>
                    <w:t>60 kg</w:t>
                  </w:r>
                  <w:r>
                    <w:rPr>
                      <w:rFonts w:hint="eastAsia" w:ascii="宋体" w:hAnsi="宋体"/>
                      <w:sz w:val="21"/>
                      <w:szCs w:val="21"/>
                    </w:rPr>
                    <w:t>ce/</w:t>
                  </w:r>
                  <w:r>
                    <w:rPr>
                      <w:rFonts w:hint="eastAsia" w:ascii="宋体" w:hAnsi="宋体"/>
                      <w:sz w:val="21"/>
                      <w:szCs w:val="21"/>
                      <w:lang w:val="en-US" w:eastAsia="zh-CN"/>
                    </w:rPr>
                    <w:t>台</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生技部</w:t>
                  </w:r>
                </w:p>
              </w:tc>
              <w:tc>
                <w:tcPr>
                  <w:tcW w:w="2797" w:type="dxa"/>
                  <w:shd w:val="clear" w:color="auto" w:fill="auto"/>
                  <w:vAlign w:val="center"/>
                </w:tcPr>
                <w:p>
                  <w:pPr>
                    <w:jc w:val="center"/>
                    <w:rPr>
                      <w:rFonts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lang w:val="en-US" w:eastAsia="zh-CN"/>
                    </w:rPr>
                    <w:t>实际完成</w:t>
                  </w:r>
                  <w:r>
                    <w:rPr>
                      <w:rFonts w:hint="eastAsia" w:ascii="宋体" w:hAnsi="宋体"/>
                      <w:sz w:val="21"/>
                      <w:szCs w:val="21"/>
                      <w:lang w:val="en-US" w:eastAsia="zh-CN"/>
                    </w:rPr>
                    <w:t>55.86</w:t>
                  </w:r>
                  <w:r>
                    <w:rPr>
                      <w:rFonts w:hint="eastAsia" w:ascii="宋体" w:hAnsi="宋体" w:cs="Times New Roman"/>
                      <w:color w:val="auto"/>
                      <w:sz w:val="21"/>
                      <w:szCs w:val="21"/>
                      <w:lang w:val="en-US" w:eastAsia="zh-CN"/>
                    </w:rPr>
                    <w:t xml:space="preserve"> </w:t>
                  </w:r>
                  <w:r>
                    <w:rPr>
                      <w:rFonts w:hint="eastAsia" w:ascii="宋体" w:hAnsi="宋体"/>
                      <w:sz w:val="21"/>
                      <w:szCs w:val="21"/>
                      <w:lang w:val="en-US" w:eastAsia="zh-CN"/>
                    </w:rPr>
                    <w:t>kg</w:t>
                  </w:r>
                  <w:r>
                    <w:rPr>
                      <w:rFonts w:hint="eastAsia" w:ascii="宋体" w:hAnsi="宋体"/>
                      <w:sz w:val="21"/>
                      <w:szCs w:val="21"/>
                    </w:rPr>
                    <w:t>ce/</w:t>
                  </w:r>
                  <w:r>
                    <w:rPr>
                      <w:rFonts w:hint="eastAsia" w:ascii="宋体" w:hAnsi="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highlight w:val="yellow"/>
                    </w:rPr>
                  </w:pPr>
                  <w:r>
                    <w:rPr>
                      <w:rFonts w:hint="eastAsia" w:ascii="宋体" w:hAnsi="宋体"/>
                      <w:sz w:val="21"/>
                      <w:szCs w:val="21"/>
                    </w:rPr>
                    <w:t>单位产值综合能耗</w:t>
                  </w:r>
                  <w:r>
                    <w:rPr>
                      <w:rFonts w:hint="eastAsia" w:ascii="宋体" w:hAnsi="宋体"/>
                      <w:sz w:val="21"/>
                      <w:szCs w:val="21"/>
                      <w:lang w:val="en-US" w:eastAsia="zh-CN"/>
                    </w:rPr>
                    <w:t>25kg</w:t>
                  </w:r>
                  <w:r>
                    <w:rPr>
                      <w:rFonts w:hint="eastAsia" w:ascii="宋体" w:hAnsi="宋体"/>
                      <w:sz w:val="21"/>
                      <w:szCs w:val="21"/>
                    </w:rPr>
                    <w:t>ce/万元</w:t>
                  </w:r>
                </w:p>
              </w:tc>
              <w:tc>
                <w:tcPr>
                  <w:tcW w:w="2354"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综合办</w:t>
                  </w:r>
                </w:p>
              </w:tc>
              <w:tc>
                <w:tcPr>
                  <w:tcW w:w="2797" w:type="dxa"/>
                  <w:shd w:val="clear" w:color="auto" w:fill="auto"/>
                  <w:vAlign w:val="center"/>
                </w:tcPr>
                <w:p>
                  <w:pPr>
                    <w:jc w:val="center"/>
                    <w:rPr>
                      <w:rFonts w:ascii="宋体" w:hAnsi="宋体"/>
                      <w:highlight w:val="none"/>
                    </w:rPr>
                  </w:pPr>
                  <w:r>
                    <w:rPr>
                      <w:rFonts w:hint="eastAsia" w:ascii="宋体" w:hAnsi="宋体" w:cs="Times New Roman"/>
                      <w:color w:val="auto"/>
                      <w:sz w:val="21"/>
                      <w:szCs w:val="21"/>
                      <w:lang w:val="en-US" w:eastAsia="zh-CN"/>
                    </w:rPr>
                    <w:t>实际完成24</w:t>
                  </w: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50kg</w:t>
                  </w:r>
                  <w:r>
                    <w:rPr>
                      <w:rFonts w:hint="eastAsia" w:ascii="宋体" w:hAnsi="宋体"/>
                      <w:sz w:val="21"/>
                      <w:szCs w:val="21"/>
                    </w:rPr>
                    <w:t>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highlight w:val="none"/>
              </w:rPr>
              <w:t>企业</w:t>
            </w:r>
            <w:r>
              <w:rPr>
                <w:rFonts w:hint="eastAsia" w:ascii="宋体" w:hAnsi="宋体" w:cs="宋体"/>
                <w:color w:val="000000"/>
                <w:kern w:val="0"/>
                <w:sz w:val="22"/>
                <w:szCs w:val="22"/>
              </w:rPr>
              <w:t>占地面积18.7万m</w:t>
            </w:r>
            <w:r>
              <w:rPr>
                <w:rFonts w:hint="eastAsia" w:ascii="宋体" w:hAnsi="宋体" w:cs="宋体"/>
                <w:color w:val="000000"/>
                <w:kern w:val="0"/>
                <w:sz w:val="22"/>
                <w:szCs w:val="22"/>
                <w:vertAlign w:val="superscript"/>
              </w:rPr>
              <w:t>2</w:t>
            </w:r>
            <w:r>
              <w:rPr>
                <w:rFonts w:hint="eastAsia" w:ascii="Times New Roman" w:hAnsi="Times New Roman" w:eastAsia="宋体" w:cs="Times New Roman"/>
              </w:rPr>
              <w:t>；生产</w:t>
            </w:r>
            <w:r>
              <w:rPr>
                <w:rFonts w:hint="eastAsia" w:ascii="Times New Roman" w:hAnsi="Times New Roman" w:eastAsia="宋体" w:cs="Times New Roman"/>
                <w:lang w:val="en-US" w:eastAsia="zh-CN"/>
              </w:rPr>
              <w:t>过程</w:t>
            </w:r>
            <w:r>
              <w:rPr>
                <w:rFonts w:hint="eastAsia" w:cs="Times New Roman"/>
                <w:lang w:val="en-US" w:eastAsia="zh-CN"/>
              </w:rPr>
              <w:t>及设备包括：</w:t>
            </w:r>
            <w:r>
              <w:rPr>
                <w:rFonts w:hint="eastAsia"/>
                <w:sz w:val="20"/>
                <w:szCs w:val="22"/>
                <w:highlight w:val="none"/>
                <w:lang w:val="en-US" w:eastAsia="zh-CN"/>
              </w:rPr>
              <w:t>机械车间</w:t>
            </w:r>
            <w:r>
              <w:rPr>
                <w:rFonts w:hint="eastAsia" w:cs="Times New Roman"/>
                <w:sz w:val="20"/>
                <w:szCs w:val="22"/>
                <w:highlight w:val="none"/>
                <w:lang w:val="en-US" w:eastAsia="zh-CN"/>
              </w:rPr>
              <w:t>、铸造车间</w:t>
            </w:r>
            <w:r>
              <w:rPr>
                <w:rFonts w:hint="eastAsia" w:ascii="Times New Roman" w:hAnsi="Times New Roman" w:eastAsia="宋体" w:cs="Times New Roman"/>
                <w:sz w:val="20"/>
                <w:szCs w:val="22"/>
                <w:highlight w:val="none"/>
                <w:lang w:val="en-US" w:eastAsia="zh-CN"/>
              </w:rPr>
              <w:t>、</w:t>
            </w:r>
            <w:r>
              <w:rPr>
                <w:rFonts w:hint="eastAsia" w:cs="Times New Roman"/>
                <w:sz w:val="20"/>
                <w:szCs w:val="22"/>
                <w:highlight w:val="none"/>
                <w:lang w:val="en-US" w:eastAsia="zh-CN"/>
              </w:rPr>
              <w:t>铆焊车间、锻压车间</w:t>
            </w:r>
            <w:r>
              <w:rPr>
                <w:rFonts w:hint="eastAsia" w:ascii="Times New Roman" w:hAnsi="Times New Roman" w:eastAsia="宋体" w:cs="Times New Roman"/>
                <w:sz w:val="20"/>
                <w:szCs w:val="22"/>
                <w:highlight w:val="none"/>
                <w:lang w:val="en-US" w:eastAsia="zh-CN"/>
              </w:rPr>
              <w:t>、</w:t>
            </w:r>
            <w:r>
              <w:rPr>
                <w:rFonts w:hint="eastAsia" w:cs="Times New Roman"/>
                <w:sz w:val="20"/>
                <w:szCs w:val="22"/>
                <w:highlight w:val="none"/>
                <w:lang w:val="en-US" w:eastAsia="zh-CN"/>
              </w:rPr>
              <w:t>辅助生产设备高压配电、低压配电、空压站（空压机）等公用工程</w:t>
            </w:r>
            <w:r>
              <w:rPr>
                <w:rFonts w:hint="eastAsia" w:ascii="Times New Roman" w:hAnsi="Times New Roman" w:eastAsia="宋体" w:cs="Times New Roman"/>
              </w:rPr>
              <w:t>；库房</w:t>
            </w:r>
            <w:r>
              <w:rPr>
                <w:rFonts w:hint="eastAsia" w:ascii="Times New Roman" w:hAnsi="Times New Roman" w:eastAsia="宋体" w:cs="Times New Roman"/>
                <w:lang w:val="en-US" w:eastAsia="zh-CN"/>
              </w:rPr>
              <w:t>2</w:t>
            </w:r>
            <w:r>
              <w:rPr>
                <w:rFonts w:hint="eastAsia" w:ascii="Times New Roman" w:hAnsi="Times New Roman" w:eastAsia="宋体" w:cs="Times New Roman"/>
              </w:rPr>
              <w:t>个</w:t>
            </w:r>
            <w:r>
              <w:rPr>
                <w:rFonts w:hint="eastAsia" w:ascii="Times New Roman" w:hAnsi="Times New Roman" w:eastAsia="宋体" w:cs="Times New Roman"/>
                <w:lang w:val="en-US" w:eastAsia="zh-CN"/>
              </w:rPr>
              <w:t>(产品库、</w:t>
            </w:r>
            <w:r>
              <w:rPr>
                <w:rFonts w:hint="eastAsia" w:cs="Times New Roman"/>
                <w:lang w:val="en-US" w:eastAsia="zh-CN"/>
              </w:rPr>
              <w:t>材料</w:t>
            </w:r>
            <w:r>
              <w:rPr>
                <w:rFonts w:hint="eastAsia" w:ascii="Times New Roman" w:hAnsi="Times New Roman" w:eastAsia="宋体" w:cs="Times New Roman"/>
                <w:lang w:val="en-US" w:eastAsia="zh-CN"/>
              </w:rPr>
              <w:t>库）</w:t>
            </w:r>
            <w:r>
              <w:rPr>
                <w:rFonts w:hint="eastAsia" w:ascii="Times New Roman" w:hAnsi="Times New Roman" w:eastAsia="宋体" w:cs="Times New Roman"/>
              </w:rPr>
              <w:t>；实验室</w:t>
            </w:r>
            <w:r>
              <w:rPr>
                <w:rFonts w:hint="eastAsia" w:ascii="Times New Roman" w:hAnsi="Times New Roman" w:eastAsia="宋体" w:cs="Times New Roman"/>
                <w:lang w:val="en-US" w:eastAsia="zh-CN"/>
              </w:rPr>
              <w:t>1（理化实验室）</w:t>
            </w:r>
            <w:r>
              <w:rPr>
                <w:rFonts w:hint="eastAsia" w:ascii="Times New Roman" w:hAnsi="Times New Roman" w:eastAsia="宋体" w:cs="Times New Roman"/>
              </w:rPr>
              <w:t>个；</w:t>
            </w:r>
          </w:p>
          <w:p>
            <w:pPr>
              <w:shd w:val="clear" w:color="auto" w:fill="EBF1DE" w:themeFill="accent3" w:themeFillTint="32"/>
              <w:rPr>
                <w:u w:val="single"/>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val="en-US" w:eastAsia="zh-CN"/>
              </w:rPr>
              <w:t>低压铸造机、天然气切割钢材成套设备（天然气）、楔横轧、数控切割机、数控立钻、</w:t>
            </w:r>
            <w:r>
              <w:rPr>
                <w:rFonts w:hint="eastAsia"/>
                <w:u w:val="single"/>
              </w:rPr>
              <w:t>（列举2~4种）</w:t>
            </w:r>
            <w:bookmarkStart w:id="25" w:name="_GoBack"/>
            <w:bookmarkEnd w:id="25"/>
          </w:p>
          <w:p>
            <w:pPr>
              <w:shd w:val="clear" w:color="auto" w:fill="EBF1DE" w:themeFill="accent3" w:themeFillTint="32"/>
              <w:rPr>
                <w:u w:val="single"/>
              </w:rPr>
            </w:pPr>
            <w:r>
              <w:rPr>
                <w:rFonts w:hint="eastAsia"/>
              </w:rPr>
              <w:t>主要耗能设备有：</w:t>
            </w:r>
            <w:r>
              <w:rPr>
                <w:rFonts w:hint="eastAsia" w:ascii="宋体" w:hAnsi="宋体" w:eastAsia="宋体" w:cs="Times New Roman"/>
                <w:szCs w:val="21"/>
                <w:u w:val="single"/>
                <w:lang w:val="en-US" w:eastAsia="zh-CN"/>
              </w:rPr>
              <w:t>300吨锻压机、加热炉、</w:t>
            </w:r>
            <w:r>
              <w:rPr>
                <w:rFonts w:hint="eastAsia"/>
                <w:color w:val="000000"/>
                <w:szCs w:val="22"/>
                <w:u w:val="single"/>
                <w:lang w:val="en-US" w:eastAsia="zh-CN"/>
              </w:rPr>
              <w:t>变压器等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52"/>
            </w:r>
            <w:r>
              <w:rPr>
                <w:rFonts w:hint="eastAsia"/>
                <w:lang w:val="en-US" w:eastAsia="zh-CN"/>
              </w:rPr>
              <w:t>加热炉</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电表、水表、天然气流量计、压力表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电表、水表由合作方负责安装和管理（检定），已与企业进行沟通，建议向供方获取检定或校准资料。天然气表</w:t>
            </w:r>
            <w:r>
              <w:rPr>
                <w:rFonts w:hint="eastAsia"/>
                <w:highlight w:val="none"/>
                <w:lang w:val="en-US" w:eastAsia="zh-CN"/>
              </w:rPr>
              <w:t>由燃气公司负责安装和校验，已提供检定报告</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rPr>
              <w:t>设计和开发新产品/项目名称：</w:t>
            </w:r>
            <w:r>
              <w:rPr>
                <w:rFonts w:hint="eastAsia"/>
                <w:u w:val="single"/>
                <w:lang w:val="en-US" w:eastAsia="zh-CN"/>
              </w:rPr>
              <w:t xml:space="preserve">   无</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eastAsia="宋体"/>
                      <w:lang w:val="en-US" w:eastAsia="zh-CN"/>
                    </w:rPr>
                    <w:t>加强天然去使用控制和考核，见制造部考核记录</w:t>
                  </w: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6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E92E4948"/>
    <w:multiLevelType w:val="singleLevel"/>
    <w:tmpl w:val="E92E494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061998"/>
    <w:rsid w:val="1AEF6328"/>
    <w:rsid w:val="393750F7"/>
    <w:rsid w:val="42397509"/>
    <w:rsid w:val="595C27A3"/>
    <w:rsid w:val="73A25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1"/>
      </w:numPr>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7</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2022-09-20T08:58:16Z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