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过程与活动、</w:t>
            </w:r>
          </w:p>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涉及</w:t>
            </w:r>
          </w:p>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条款</w:t>
            </w:r>
          </w:p>
        </w:tc>
        <w:tc>
          <w:tcPr>
            <w:tcW w:w="10376"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受审核部门：管理层    主管领导： </w:t>
            </w:r>
            <w:r>
              <w:rPr>
                <w:rFonts w:hint="eastAsia"/>
                <w:color w:val="000000" w:themeColor="text1"/>
                <w:szCs w:val="21"/>
              </w:rPr>
              <w:t>总经理：</w:t>
            </w:r>
            <w:r>
              <w:rPr>
                <w:rFonts w:hint="eastAsia" w:ascii="宋体" w:hAnsi="宋体" w:eastAsia="宋体" w:cs="宋体"/>
                <w:color w:val="auto"/>
                <w:sz w:val="21"/>
                <w:szCs w:val="21"/>
                <w:lang w:val="en-US" w:eastAsia="zh-CN"/>
              </w:rPr>
              <w:t>姜广东</w:t>
            </w:r>
            <w:r>
              <w:rPr>
                <w:rFonts w:hint="eastAsia" w:ascii="宋体" w:hAnsi="宋体"/>
                <w:lang w:val="en-US" w:eastAsia="zh-CN"/>
              </w:rPr>
              <w:t xml:space="preserve">  管理者代表：</w:t>
            </w:r>
            <w:r>
              <w:rPr>
                <w:rFonts w:hint="eastAsia"/>
                <w:color w:val="000000" w:themeColor="text1"/>
                <w:szCs w:val="21"/>
              </w:rPr>
              <w:t xml:space="preserve"> </w:t>
            </w:r>
            <w:r>
              <w:rPr>
                <w:rFonts w:hint="eastAsia" w:ascii="宋体" w:hAnsi="宋体" w:eastAsia="宋体" w:cs="宋体"/>
                <w:color w:val="auto"/>
                <w:sz w:val="21"/>
                <w:szCs w:val="21"/>
                <w:lang w:val="en-US" w:eastAsia="zh-CN"/>
              </w:rPr>
              <w:t>陆桂来</w:t>
            </w:r>
            <w:r>
              <w:rPr>
                <w:rFonts w:hint="eastAsia"/>
                <w:color w:val="000000" w:themeColor="text1"/>
                <w:szCs w:val="21"/>
              </w:rPr>
              <w:t xml:space="preserve">     陪同人员： </w:t>
            </w:r>
            <w:r>
              <w:rPr>
                <w:rFonts w:hint="eastAsia"/>
                <w:color w:val="000000" w:themeColor="text1"/>
                <w:szCs w:val="21"/>
                <w:lang w:val="en-US" w:eastAsia="zh-CN"/>
              </w:rPr>
              <w:t>张泽宇</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审核员：</w:t>
            </w:r>
            <w:r>
              <w:rPr>
                <w:rFonts w:hint="eastAsia" w:cs="Times New Roman"/>
                <w:color w:val="000000" w:themeColor="text1"/>
                <w:sz w:val="21"/>
                <w:szCs w:val="21"/>
                <w:lang w:val="en-US" w:eastAsia="zh-CN"/>
              </w:rPr>
              <w:t>范玲玲（远程）</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sz w:val="21"/>
                <w:szCs w:val="21"/>
                <w:lang w:val="en-US" w:eastAsia="zh-CN"/>
              </w:rPr>
              <w:t>远程审核采用微信、文件传输、电话、腾讯会议等工具实施审核。</w:t>
            </w:r>
          </w:p>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审核时间：2022-0</w:t>
            </w:r>
            <w:r>
              <w:rPr>
                <w:rFonts w:hint="eastAsia" w:cs="Times New Roman"/>
                <w:color w:val="000000" w:themeColor="text1"/>
                <w:sz w:val="21"/>
                <w:szCs w:val="21"/>
                <w:lang w:val="en-US" w:eastAsia="zh-CN"/>
              </w:rPr>
              <w:t>9</w:t>
            </w:r>
            <w:r>
              <w:rPr>
                <w:rFonts w:hint="eastAsia" w:ascii="Times New Roman" w:hAnsi="Times New Roman" w:eastAsia="宋体" w:cs="Times New Roman"/>
                <w:color w:val="000000" w:themeColor="text1"/>
                <w:sz w:val="21"/>
                <w:szCs w:val="21"/>
                <w:lang w:val="en-US" w:eastAsia="zh-CN"/>
              </w:rPr>
              <w:t>-</w:t>
            </w:r>
            <w:r>
              <w:rPr>
                <w:rFonts w:hint="eastAsia" w:cs="Times New Roman"/>
                <w:color w:val="000000" w:themeColor="text1"/>
                <w:sz w:val="21"/>
                <w:szCs w:val="21"/>
                <w:lang w:val="en-US" w:eastAsia="zh-CN"/>
              </w:rPr>
              <w:t>18</w:t>
            </w:r>
            <w:r>
              <w:rPr>
                <w:rFonts w:hint="eastAsia" w:ascii="Times New Roman" w:hAnsi="Times New Roman" w:eastAsia="宋体" w:cs="Times New Roman"/>
                <w:color w:val="000000" w:themeColor="text1"/>
                <w:sz w:val="21"/>
                <w:szCs w:val="21"/>
                <w:lang w:val="en-US" w:eastAsia="zh-CN"/>
              </w:rPr>
              <w:t xml:space="preserve"> </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tabs>
                <w:tab w:val="left" w:pos="709"/>
              </w:tabs>
              <w:ind w:right="57"/>
              <w:jc w:val="left"/>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应对风险和机遇的措施、7.1 资源</w:t>
            </w:r>
            <w:r>
              <w:rPr>
                <w:rFonts w:hint="eastAsia"/>
                <w:color w:val="000000" w:themeColor="text1"/>
                <w:sz w:val="21"/>
                <w:szCs w:val="21"/>
                <w:lang w:eastAsia="zh-CN"/>
              </w:rPr>
              <w:t>、</w:t>
            </w:r>
            <w:r>
              <w:rPr>
                <w:rFonts w:hint="eastAsia" w:ascii="Times New Roman" w:hAnsi="Times New Roman" w:cs="Times New Roman"/>
                <w:color w:val="000000" w:themeColor="text1"/>
                <w:szCs w:val="22"/>
                <w:lang w:val="en-US" w:eastAsia="zh-CN"/>
              </w:rPr>
              <w:t>9.3 管理评审</w:t>
            </w:r>
            <w:r>
              <w:rPr>
                <w:rFonts w:hint="eastAsia" w:cs="Times New Roman"/>
                <w:color w:val="000000" w:themeColor="text1"/>
                <w:szCs w:val="22"/>
                <w:lang w:val="en-US" w:eastAsia="zh-CN"/>
              </w:rPr>
              <w:t>、</w:t>
            </w:r>
            <w:r>
              <w:rPr>
                <w:rFonts w:hint="eastAsia" w:ascii="Times New Roman" w:hAnsi="Times New Roman" w:cs="Times New Roman"/>
                <w:color w:val="000000" w:themeColor="text1"/>
                <w:szCs w:val="22"/>
                <w:lang w:val="en-US" w:eastAsia="zh-CN"/>
              </w:rPr>
              <w:t>10.2 持续改进。</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000000" w:themeColor="text1"/>
              </w:rPr>
            </w:pPr>
            <w:r>
              <w:rPr>
                <w:rFonts w:hint="eastAsia" w:ascii="Times New Roman" w:hAnsi="Times New Roman" w:cs="Times New Roman"/>
                <w:color w:val="000000" w:themeColor="text1"/>
                <w:szCs w:val="22"/>
                <w:lang w:val="en-US" w:eastAsia="zh-CN"/>
              </w:rPr>
              <w:t>了解公司基本情况</w:t>
            </w:r>
          </w:p>
        </w:tc>
        <w:tc>
          <w:tcPr>
            <w:tcW w:w="960" w:type="dxa"/>
          </w:tcPr>
          <w:p>
            <w:pPr>
              <w:rPr>
                <w:color w:val="000000" w:themeColor="text1"/>
              </w:rPr>
            </w:pPr>
          </w:p>
        </w:tc>
        <w:tc>
          <w:tcPr>
            <w:tcW w:w="10376" w:type="dxa"/>
          </w:tcPr>
          <w:p>
            <w:pPr>
              <w:ind w:firstLine="420" w:firstLineChars="200"/>
              <w:rPr>
                <w:rFonts w:hint="eastAsia"/>
                <w:color w:val="000000" w:themeColor="text1"/>
                <w:lang w:val="en-US" w:eastAsia="zh-CN"/>
              </w:rPr>
            </w:pPr>
            <w:bookmarkStart w:id="0" w:name="组织名称"/>
            <w:r>
              <w:rPr>
                <w:rFonts w:hint="eastAsia"/>
                <w:sz w:val="21"/>
                <w:szCs w:val="21"/>
                <w:lang w:val="en-US" w:eastAsia="zh-CN"/>
              </w:rPr>
              <w:t>通过微信沟通了解到</w:t>
            </w:r>
            <w:bookmarkEnd w:id="0"/>
            <w:r>
              <w:rPr>
                <w:sz w:val="21"/>
                <w:szCs w:val="21"/>
              </w:rPr>
              <w:t>中国能源建设集团南京线路器材有限公司</w:t>
            </w:r>
            <w:r>
              <w:rPr>
                <w:rFonts w:hint="eastAsia"/>
                <w:color w:val="000000" w:themeColor="text1"/>
                <w:lang w:val="en-US" w:eastAsia="zh-CN"/>
              </w:rPr>
              <w:t>成立于</w:t>
            </w:r>
            <w:r>
              <w:rPr>
                <w:rFonts w:hint="eastAsia"/>
                <w:lang w:val="en-US" w:eastAsia="zh-CN"/>
              </w:rPr>
              <w:t>1991年01月22日</w:t>
            </w:r>
            <w:r>
              <w:rPr>
                <w:rFonts w:hint="eastAsia"/>
                <w:color w:val="000000" w:themeColor="text1"/>
                <w:lang w:val="en-US" w:eastAsia="zh-CN"/>
              </w:rPr>
              <w:t>，是经南京市六合区市场监督管理局核准注册的</w:t>
            </w:r>
            <w:r>
              <w:rPr>
                <w:sz w:val="20"/>
                <w:highlight w:val="none"/>
              </w:rPr>
              <w:t>电力金具及电力线路附件生产</w:t>
            </w:r>
            <w:r>
              <w:rPr>
                <w:rFonts w:hint="eastAsia"/>
                <w:sz w:val="20"/>
                <w:lang w:val="en-US" w:eastAsia="zh-CN"/>
              </w:rPr>
              <w:t>的</w:t>
            </w:r>
            <w:r>
              <w:rPr>
                <w:rFonts w:hint="eastAsia"/>
                <w:color w:val="000000" w:themeColor="text1"/>
                <w:lang w:val="en-US" w:eastAsia="zh-CN"/>
              </w:rPr>
              <w:t>公司。主要制造</w:t>
            </w:r>
            <w:r>
              <w:rPr>
                <w:sz w:val="20"/>
                <w:highlight w:val="none"/>
              </w:rPr>
              <w:t>电力金具及电力线路附件</w:t>
            </w:r>
            <w:r>
              <w:rPr>
                <w:rFonts w:hint="eastAsia"/>
                <w:color w:val="000000" w:themeColor="text1"/>
                <w:lang w:val="en-US" w:eastAsia="zh-CN"/>
              </w:rPr>
              <w:t>等产品。</w:t>
            </w:r>
          </w:p>
          <w:p>
            <w:pPr>
              <w:ind w:firstLine="420" w:firstLineChars="200"/>
              <w:rPr>
                <w:rFonts w:hint="eastAsia"/>
                <w:color w:val="000000" w:themeColor="text1"/>
                <w:lang w:val="en-US" w:eastAsia="zh-CN"/>
              </w:rPr>
            </w:pPr>
            <w:r>
              <w:rPr>
                <w:rFonts w:hint="eastAsia"/>
                <w:color w:val="000000" w:themeColor="text1"/>
                <w:lang w:val="en-US" w:eastAsia="zh-CN"/>
              </w:rPr>
              <w:t>总经理：</w:t>
            </w:r>
            <w:r>
              <w:rPr>
                <w:rFonts w:hint="eastAsia" w:ascii="宋体" w:hAnsi="宋体" w:eastAsia="宋体" w:cs="宋体"/>
                <w:color w:val="auto"/>
                <w:sz w:val="21"/>
                <w:szCs w:val="21"/>
                <w:lang w:val="en-US" w:eastAsia="zh-CN"/>
              </w:rPr>
              <w:t>姜广东</w:t>
            </w:r>
            <w:r>
              <w:rPr>
                <w:rFonts w:hint="eastAsia"/>
                <w:color w:val="000000" w:themeColor="text1"/>
                <w:lang w:val="en-US" w:eastAsia="zh-CN"/>
              </w:rPr>
              <w:t xml:space="preserve">。 </w:t>
            </w:r>
          </w:p>
          <w:p>
            <w:pPr>
              <w:ind w:firstLine="420" w:firstLineChars="200"/>
              <w:rPr>
                <w:rFonts w:hint="eastAsia"/>
                <w:color w:val="000000" w:themeColor="text1"/>
                <w:lang w:val="en-US" w:eastAsia="zh-CN"/>
              </w:rPr>
            </w:pPr>
            <w:r>
              <w:rPr>
                <w:rFonts w:hint="eastAsia"/>
                <w:color w:val="000000" w:themeColor="text1"/>
                <w:lang w:val="en-US" w:eastAsia="zh-CN"/>
              </w:rPr>
              <w:t>注册资本16314.121024万元，公司</w:t>
            </w:r>
            <w:r>
              <w:rPr>
                <w:rFonts w:hint="eastAsia"/>
                <w:lang w:val="en-US" w:eastAsia="zh-CN"/>
              </w:rPr>
              <w:t>能源</w:t>
            </w:r>
            <w:r>
              <w:rPr>
                <w:rFonts w:hint="eastAsia"/>
              </w:rPr>
              <w:t>管理体系覆盖的</w:t>
            </w:r>
            <w:r>
              <w:rPr>
                <w:rFonts w:hint="eastAsia"/>
                <w:color w:val="auto"/>
                <w:szCs w:val="21"/>
              </w:rPr>
              <w:t>人数</w:t>
            </w:r>
            <w:r>
              <w:rPr>
                <w:rFonts w:hint="eastAsia"/>
                <w:color w:val="auto"/>
                <w:szCs w:val="21"/>
                <w:lang w:val="en-US" w:eastAsia="zh-CN"/>
              </w:rPr>
              <w:t>150</w:t>
            </w:r>
            <w:r>
              <w:rPr>
                <w:rFonts w:hint="eastAsia"/>
                <w:color w:val="auto"/>
                <w:szCs w:val="21"/>
              </w:rPr>
              <w:t>人</w:t>
            </w:r>
            <w:r>
              <w:rPr>
                <w:rFonts w:hint="eastAsia"/>
              </w:rPr>
              <w:t>（</w:t>
            </w:r>
            <w:r>
              <w:rPr>
                <w:rFonts w:hint="eastAsia"/>
                <w:color w:val="auto"/>
                <w:sz w:val="20"/>
              </w:rPr>
              <w:t>公司</w:t>
            </w:r>
            <w:r>
              <w:rPr>
                <w:rFonts w:hint="eastAsia"/>
                <w:color w:val="auto"/>
                <w:szCs w:val="21"/>
              </w:rPr>
              <w:t>总人数</w:t>
            </w:r>
            <w:r>
              <w:rPr>
                <w:rFonts w:hint="eastAsia"/>
                <w:color w:val="auto"/>
                <w:szCs w:val="21"/>
                <w:lang w:val="en-US" w:eastAsia="zh-CN"/>
              </w:rPr>
              <w:t>400</w:t>
            </w:r>
            <w:r>
              <w:rPr>
                <w:rFonts w:hint="eastAsia"/>
              </w:rPr>
              <w:t>人）</w:t>
            </w:r>
            <w:r>
              <w:rPr>
                <w:rFonts w:hint="eastAsia"/>
                <w:color w:val="000000" w:themeColor="text1"/>
                <w:lang w:val="en-US" w:eastAsia="zh-CN"/>
              </w:rPr>
              <w:t>，</w:t>
            </w:r>
            <w:r>
              <w:rPr>
                <w:rFonts w:hint="eastAsia"/>
                <w:color w:val="auto"/>
                <w:szCs w:val="22"/>
              </w:rPr>
              <w:t>管理人员</w:t>
            </w:r>
            <w:r>
              <w:rPr>
                <w:rFonts w:hint="eastAsia"/>
                <w:color w:val="auto"/>
                <w:szCs w:val="22"/>
                <w:lang w:val="en-US" w:eastAsia="zh-CN"/>
              </w:rPr>
              <w:t>30人</w:t>
            </w:r>
            <w:r>
              <w:rPr>
                <w:rFonts w:hint="eastAsia"/>
                <w:color w:val="auto"/>
                <w:szCs w:val="22"/>
              </w:rPr>
              <w:t>，作业人员</w:t>
            </w:r>
            <w:r>
              <w:rPr>
                <w:rFonts w:hint="eastAsia"/>
                <w:color w:val="auto"/>
                <w:szCs w:val="22"/>
                <w:lang w:val="en-US" w:eastAsia="zh-CN"/>
              </w:rPr>
              <w:t>120</w:t>
            </w:r>
            <w:r>
              <w:rPr>
                <w:rFonts w:hint="eastAsia"/>
                <w:color w:val="auto"/>
                <w:szCs w:val="22"/>
                <w:lang w:eastAsia="zh-CN"/>
              </w:rPr>
              <w:t>，</w:t>
            </w:r>
            <w:r>
              <w:rPr>
                <w:rFonts w:hint="eastAsia"/>
                <w:color w:val="auto"/>
                <w:szCs w:val="21"/>
                <w:lang w:val="en-US" w:eastAsia="zh-CN"/>
              </w:rPr>
              <w:t>无班倒</w:t>
            </w:r>
            <w:r>
              <w:rPr>
                <w:rFonts w:hint="eastAsia"/>
                <w:color w:val="000000" w:themeColor="text1"/>
                <w:lang w:val="en-US" w:eastAsia="zh-CN"/>
              </w:rPr>
              <w:t>。</w:t>
            </w:r>
          </w:p>
          <w:p>
            <w:pPr>
              <w:ind w:firstLine="420" w:firstLineChars="200"/>
              <w:rPr>
                <w:rFonts w:hint="eastAsia"/>
                <w:color w:val="000000" w:themeColor="text1"/>
                <w:lang w:val="en-US" w:eastAsia="zh-CN"/>
              </w:rPr>
            </w:pPr>
            <w:r>
              <w:rPr>
                <w:rFonts w:hint="eastAsia"/>
                <w:color w:val="000000" w:themeColor="text1"/>
                <w:lang w:val="en-US" w:eastAsia="zh-CN"/>
              </w:rPr>
              <w:t>营业执照注册地址：</w:t>
            </w:r>
            <w:r>
              <w:rPr>
                <w:rFonts w:asciiTheme="minorEastAsia" w:hAnsiTheme="minorEastAsia" w:eastAsiaTheme="minorEastAsia"/>
                <w:sz w:val="20"/>
              </w:rPr>
              <w:t>南京市六合区龙池街道龙华西路9号</w:t>
            </w:r>
            <w:r>
              <w:rPr>
                <w:rFonts w:hint="eastAsia"/>
                <w:color w:val="000000" w:themeColor="text1"/>
                <w:lang w:val="en-US" w:eastAsia="zh-CN"/>
              </w:rPr>
              <w:t>。</w:t>
            </w:r>
          </w:p>
          <w:p>
            <w:pPr>
              <w:ind w:firstLine="420" w:firstLineChars="200"/>
              <w:rPr>
                <w:rFonts w:hint="eastAsia" w:ascii="宋体" w:hAnsi="宋体" w:eastAsia="宋体" w:cs="宋体"/>
                <w:color w:val="000000"/>
                <w:kern w:val="0"/>
                <w:szCs w:val="21"/>
                <w:lang w:eastAsia="zh-CN"/>
              </w:rPr>
            </w:pPr>
            <w:r>
              <w:rPr>
                <w:rFonts w:hint="eastAsia"/>
                <w:color w:val="000000" w:themeColor="text1"/>
                <w:lang w:val="en-US" w:eastAsia="zh-CN"/>
              </w:rPr>
              <w:t>经营地址：</w:t>
            </w:r>
            <w:r>
              <w:rPr>
                <w:rFonts w:asciiTheme="minorEastAsia" w:hAnsiTheme="minorEastAsia" w:eastAsiaTheme="minorEastAsia"/>
                <w:sz w:val="20"/>
              </w:rPr>
              <w:t>南京市六合区龙池街道龙华西路9号</w:t>
            </w:r>
            <w:r>
              <w:rPr>
                <w:rFonts w:hint="eastAsia"/>
                <w:color w:val="000000"/>
                <w:lang w:eastAsia="zh-CN"/>
              </w:rPr>
              <w:t>；</w:t>
            </w:r>
          </w:p>
          <w:p>
            <w:pPr>
              <w:ind w:firstLine="420" w:firstLineChars="200"/>
              <w:rPr>
                <w:rFonts w:hint="eastAsia"/>
                <w:color w:val="000000" w:themeColor="text1"/>
                <w:lang w:val="en-US" w:eastAsia="zh-CN"/>
              </w:rPr>
            </w:pPr>
            <w:r>
              <w:rPr>
                <w:rFonts w:hint="eastAsia"/>
                <w:color w:val="000000" w:themeColor="text1"/>
                <w:lang w:val="en-US" w:eastAsia="zh-CN"/>
              </w:rPr>
              <w:t>与注册地址一致，与生产现场一致。</w:t>
            </w:r>
          </w:p>
          <w:p>
            <w:pPr>
              <w:ind w:firstLine="420" w:firstLineChars="200"/>
              <w:rPr>
                <w:rFonts w:hint="eastAsia"/>
                <w:color w:val="000000" w:themeColor="text1"/>
                <w:lang w:val="en-US" w:eastAsia="zh-CN"/>
              </w:rPr>
            </w:pPr>
            <w:r>
              <w:rPr>
                <w:rFonts w:hint="eastAsia"/>
                <w:color w:val="000000" w:themeColor="text1"/>
                <w:lang w:val="en-US" w:eastAsia="zh-CN"/>
              </w:rPr>
              <w:t>能源管理体系覆盖的人数总计150人，远程审核予以确认。</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理解组织及其所处的环境</w:t>
            </w:r>
            <w:r>
              <w:rPr>
                <w:rFonts w:hint="eastAsia" w:ascii="宋体" w:hAnsi="宋体" w:cs="Times New Roman"/>
                <w:color w:val="000000" w:themeColor="text1"/>
                <w:sz w:val="21"/>
                <w:szCs w:val="21"/>
                <w:lang w:val="en-US" w:eastAsia="zh-CN"/>
              </w:rPr>
              <w:t>，</w:t>
            </w:r>
          </w:p>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理解相关方的需求和期望</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.1</w:t>
            </w:r>
            <w:r>
              <w:rPr>
                <w:rFonts w:hint="eastAsia" w:ascii="宋体" w:hAnsi="宋体" w:cs="Times New Roman"/>
                <w:color w:val="000000" w:themeColor="text1"/>
                <w:sz w:val="21"/>
                <w:szCs w:val="21"/>
                <w:lang w:val="en-US" w:eastAsia="zh-CN"/>
              </w:rPr>
              <w:t>/4.2</w:t>
            </w:r>
          </w:p>
        </w:tc>
        <w:tc>
          <w:tcPr>
            <w:tcW w:w="10376" w:type="dxa"/>
          </w:tcPr>
          <w:p>
            <w:pPr>
              <w:ind w:firstLine="420" w:firstLineChars="200"/>
              <w:jc w:val="left"/>
              <w:rPr>
                <w:rFonts w:hint="default"/>
                <w:lang w:val="en-US" w:eastAsia="zh-CN"/>
              </w:rPr>
            </w:pPr>
            <w:r>
              <w:rPr>
                <w:rFonts w:hint="default"/>
                <w:lang w:val="en-US" w:eastAsia="zh-CN"/>
              </w:rPr>
              <w:t>公司建立了《</w:t>
            </w:r>
            <w:r>
              <w:rPr>
                <w:rFonts w:hint="eastAsia" w:asciiTheme="minorEastAsia" w:hAnsiTheme="minorEastAsia" w:eastAsiaTheme="minorEastAsia" w:cstheme="minorEastAsia"/>
                <w:sz w:val="21"/>
                <w:szCs w:val="21"/>
                <w:lang w:val="en-US" w:eastAsia="zh-CN"/>
              </w:rPr>
              <w:t>NYJS/NY CX-01-2022</w:t>
            </w:r>
            <w:r>
              <w:rPr>
                <w:rFonts w:hint="default"/>
                <w:lang w:val="en-US" w:eastAsia="zh-CN"/>
              </w:rPr>
              <w:t>组织环境与相关方</w:t>
            </w:r>
            <w:r>
              <w:rPr>
                <w:rFonts w:hint="eastAsia"/>
                <w:lang w:val="en-US" w:eastAsia="zh-CN"/>
              </w:rPr>
              <w:t>需求管理</w:t>
            </w:r>
            <w:r>
              <w:rPr>
                <w:rFonts w:hint="default"/>
                <w:lang w:val="en-US" w:eastAsia="zh-CN"/>
              </w:rPr>
              <w:t>程序》，确定与其宗旨相关并影响其实现能源管理体系预期结果的能力的外部和内部问题。从地理位置、国内国际市场、法律法规要求、技术水平、文化和价值观等方面关注环境变化</w:t>
            </w:r>
            <w:r>
              <w:rPr>
                <w:rFonts w:hint="eastAsia"/>
                <w:lang w:val="en-US" w:eastAsia="zh-CN"/>
              </w:rPr>
              <w:t>。</w:t>
            </w:r>
            <w:r>
              <w:rPr>
                <w:rFonts w:hint="default"/>
                <w:lang w:val="en-US" w:eastAsia="zh-CN"/>
              </w:rPr>
              <w:t xml:space="preserve"> </w:t>
            </w:r>
          </w:p>
          <w:p>
            <w:pPr>
              <w:ind w:firstLine="420" w:firstLineChars="200"/>
              <w:jc w:val="left"/>
              <w:rPr>
                <w:rFonts w:hint="default"/>
                <w:lang w:val="en-US" w:eastAsia="zh-CN"/>
              </w:rPr>
            </w:pPr>
            <w:r>
              <w:rPr>
                <w:rFonts w:hint="default"/>
                <w:lang w:val="en-US" w:eastAsia="zh-CN"/>
              </w:rPr>
              <w:t>公司领导层在了解和识别内外部因素时，</w:t>
            </w:r>
            <w:r>
              <w:rPr>
                <w:rFonts w:hint="eastAsia"/>
                <w:lang w:val="en-US" w:eastAsia="zh-CN"/>
              </w:rPr>
              <w:t>已经</w:t>
            </w:r>
            <w:r>
              <w:rPr>
                <w:rFonts w:hint="default"/>
                <w:lang w:val="en-US" w:eastAsia="zh-CN"/>
              </w:rPr>
              <w:t>充分考虑企业活动、产品和服务提供过程中发生相互作用的因素，并基于生命周期的观点实施能源因素的管理。公司领导层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eastAsia"/>
                <w:lang w:val="en-US" w:eastAsia="zh-CN"/>
              </w:rPr>
            </w:pPr>
            <w:r>
              <w:rPr>
                <w:rFonts w:hint="eastAsia"/>
                <w:lang w:val="en-US" w:eastAsia="zh-CN"/>
              </w:rPr>
              <w:t>公司已经制定《</w:t>
            </w:r>
            <w:r>
              <w:rPr>
                <w:rFonts w:hint="default"/>
                <w:lang w:val="en-US" w:eastAsia="zh-CN"/>
              </w:rPr>
              <w:t>组织环境与相关方</w:t>
            </w:r>
            <w:r>
              <w:rPr>
                <w:rFonts w:hint="eastAsia"/>
                <w:lang w:val="en-US" w:eastAsia="zh-CN"/>
              </w:rPr>
              <w:t>需求管理</w:t>
            </w:r>
            <w:r>
              <w:rPr>
                <w:rFonts w:hint="default"/>
                <w:lang w:val="en-US" w:eastAsia="zh-CN"/>
              </w:rPr>
              <w:t>程序</w:t>
            </w:r>
            <w:r>
              <w:rPr>
                <w:rFonts w:hint="eastAsia"/>
                <w:lang w:val="en-US" w:eastAsia="zh-CN"/>
              </w:rPr>
              <w:t>》，确定了与能源效益和能源管理系统有关的利害关系方；</w:t>
            </w:r>
          </w:p>
          <w:p>
            <w:pPr>
              <w:jc w:val="left"/>
              <w:rPr>
                <w:rFonts w:hint="default"/>
                <w:lang w:val="en-US" w:eastAsia="zh-CN"/>
              </w:rPr>
            </w:pPr>
            <w:r>
              <w:rPr>
                <w:rFonts w:hint="eastAsia"/>
                <w:lang w:val="en-US" w:eastAsia="zh-CN"/>
              </w:rPr>
              <w:t>也提出了这些利害关系方的相关要求；公司通过能源管理体系处理哪些确定的需求和期望。公司还规定：生产部确定内外部环境因素和相关方期望或要求。总经理：批准风险和机会的应对措施。管理者代表组织各部门进行内外部环境因素和相关方期望或要求的识别评价、并拟定应对措施，对结果进行审核整理。各部门配合进行内外部环境因素和相关方期望或要求的识别评价、并拟定应对措施。</w:t>
            </w:r>
          </w:p>
          <w:p>
            <w:pPr>
              <w:ind w:firstLine="420" w:firstLineChars="200"/>
              <w:jc w:val="left"/>
              <w:rPr>
                <w:rFonts w:hint="default"/>
                <w:lang w:val="en-US" w:eastAsia="zh-CN"/>
              </w:rPr>
            </w:pPr>
            <w:r>
              <w:rPr>
                <w:rFonts w:hint="default"/>
                <w:lang w:val="en-US" w:eastAsia="zh-CN"/>
              </w:rPr>
              <w:t>公司</w:t>
            </w:r>
            <w:r>
              <w:rPr>
                <w:rFonts w:hint="eastAsia"/>
                <w:lang w:val="en-US" w:eastAsia="zh-CN"/>
              </w:rPr>
              <w:t>对管理</w:t>
            </w:r>
            <w:r>
              <w:rPr>
                <w:rFonts w:hint="default"/>
                <w:lang w:val="en-US" w:eastAsia="zh-CN"/>
              </w:rPr>
              <w:t>相关方</w:t>
            </w:r>
            <w:r>
              <w:rPr>
                <w:rFonts w:hint="eastAsia"/>
                <w:lang w:val="en-US" w:eastAsia="zh-CN"/>
              </w:rPr>
              <w:t>要求</w:t>
            </w:r>
            <w:r>
              <w:rPr>
                <w:rFonts w:hint="default"/>
                <w:lang w:val="en-US" w:eastAsia="zh-CN"/>
              </w:rPr>
              <w:t>：管理者代表</w:t>
            </w:r>
            <w:r>
              <w:rPr>
                <w:rFonts w:hint="eastAsia"/>
                <w:lang w:val="en-US" w:eastAsia="zh-CN"/>
              </w:rPr>
              <w:t>负责</w:t>
            </w:r>
            <w:r>
              <w:rPr>
                <w:rFonts w:hint="default"/>
                <w:lang w:val="en-US" w:eastAsia="zh-CN"/>
              </w:rPr>
              <w:t>所有者、合伙人、竞争对手或社会团体</w:t>
            </w:r>
            <w:r>
              <w:rPr>
                <w:rFonts w:hint="eastAsia"/>
                <w:lang w:val="en-US" w:eastAsia="zh-CN"/>
              </w:rPr>
              <w:t>。</w:t>
            </w:r>
            <w:r>
              <w:rPr>
                <w:rFonts w:hint="default"/>
                <w:lang w:val="en-US" w:eastAsia="zh-CN"/>
              </w:rPr>
              <w:t>采购部门</w:t>
            </w:r>
            <w:r>
              <w:rPr>
                <w:rFonts w:hint="eastAsia"/>
                <w:lang w:val="en-US" w:eastAsia="zh-CN"/>
              </w:rPr>
              <w:t>负责</w:t>
            </w:r>
            <w:r>
              <w:rPr>
                <w:rFonts w:hint="default"/>
                <w:lang w:val="en-US" w:eastAsia="zh-CN"/>
              </w:rPr>
              <w:t>外包加工方、供应商、竞争对手或社会团体</w:t>
            </w:r>
            <w:r>
              <w:rPr>
                <w:rFonts w:hint="eastAsia"/>
                <w:lang w:val="en-US" w:eastAsia="zh-CN"/>
              </w:rPr>
              <w:t>，还负责</w:t>
            </w:r>
            <w:r>
              <w:rPr>
                <w:rFonts w:hint="default"/>
                <w:lang w:val="en-US" w:eastAsia="zh-CN"/>
              </w:rPr>
              <w:t>顾客、竞争对手或社会团体</w:t>
            </w:r>
            <w:r>
              <w:rPr>
                <w:rFonts w:hint="eastAsia"/>
                <w:lang w:val="en-US" w:eastAsia="zh-CN"/>
              </w:rPr>
              <w:t>。行政部负责</w:t>
            </w:r>
            <w:r>
              <w:rPr>
                <w:rFonts w:hint="default"/>
                <w:lang w:val="en-US" w:eastAsia="zh-CN"/>
              </w:rPr>
              <w:t>员工代表、附近企业及居民、银行、工会、社会团体。</w:t>
            </w:r>
          </w:p>
          <w:p>
            <w:pPr>
              <w:ind w:firstLine="420" w:firstLineChars="200"/>
              <w:rPr>
                <w:rFonts w:hint="default"/>
                <w:lang w:val="en-US" w:eastAsia="zh-CN"/>
              </w:rPr>
            </w:pPr>
            <w:r>
              <w:rPr>
                <w:rFonts w:hint="eastAsia"/>
                <w:lang w:val="en-US" w:eastAsia="zh-CN"/>
              </w:rPr>
              <w:t>公司的能源管理涉及的内外部环境因素、相关方的需求和期望等基本识别到位，并明确了检测频率和监测部门。满足要求。</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rPr>
            </w:pPr>
            <w:r>
              <w:rPr>
                <w:rFonts w:hint="eastAsia" w:ascii="宋体" w:hAnsi="宋体" w:eastAsia="宋体" w:cs="Times New Roman"/>
                <w:color w:val="000000" w:themeColor="text1"/>
                <w:sz w:val="21"/>
                <w:szCs w:val="21"/>
                <w:lang w:val="en-US" w:eastAsia="zh-CN"/>
              </w:rPr>
              <w:t>确定能源管理体系的范围</w:t>
            </w:r>
          </w:p>
        </w:tc>
        <w:tc>
          <w:tcPr>
            <w:tcW w:w="960" w:type="dxa"/>
          </w:tcPr>
          <w:p>
            <w:pPr>
              <w:rPr>
                <w:rFonts w:hint="eastAsia" w:eastAsia="宋体"/>
                <w:color w:val="000000" w:themeColor="text1"/>
                <w:lang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3</w:t>
            </w:r>
          </w:p>
        </w:tc>
        <w:tc>
          <w:tcPr>
            <w:tcW w:w="10376" w:type="dxa"/>
          </w:tcPr>
          <w:p>
            <w:pPr>
              <w:ind w:firstLine="400" w:firstLineChars="200"/>
              <w:rPr>
                <w:rFonts w:hint="default"/>
                <w:color w:val="000000" w:themeColor="text1"/>
                <w:sz w:val="20"/>
                <w:szCs w:val="22"/>
                <w:lang w:val="en-US" w:eastAsia="zh-CN"/>
              </w:rPr>
            </w:pPr>
            <w:r>
              <w:rPr>
                <w:rFonts w:hint="eastAsia"/>
                <w:color w:val="000000" w:themeColor="text1"/>
                <w:sz w:val="20"/>
                <w:szCs w:val="22"/>
                <w:lang w:val="en-US" w:eastAsia="zh-CN"/>
              </w:rPr>
              <w:t>公司能源管理体系的边界和范围：二阶段已确认审核范围。</w:t>
            </w:r>
          </w:p>
          <w:p>
            <w:pPr>
              <w:ind w:firstLine="420" w:firstLineChars="200"/>
              <w:rPr>
                <w:rFonts w:hint="eastAsia"/>
                <w:color w:val="000000" w:themeColor="text1"/>
                <w:sz w:val="20"/>
                <w:szCs w:val="22"/>
                <w:lang w:val="en-US" w:eastAsia="zh-CN"/>
              </w:rPr>
            </w:pPr>
            <w:r>
              <w:rPr>
                <w:sz w:val="21"/>
                <w:szCs w:val="21"/>
              </w:rPr>
              <w:t>中国能源建设集团南京线路器材有限公司</w:t>
            </w:r>
            <w:r>
              <w:rPr>
                <w:rFonts w:hint="eastAsia"/>
                <w:color w:val="000000" w:themeColor="text1"/>
                <w:sz w:val="20"/>
                <w:szCs w:val="22"/>
                <w:lang w:val="en-US" w:eastAsia="zh-CN"/>
              </w:rPr>
              <w:t>的</w:t>
            </w:r>
            <w:bookmarkStart w:id="1" w:name="审核范围"/>
            <w:r>
              <w:rPr>
                <w:sz w:val="20"/>
                <w:highlight w:val="none"/>
              </w:rPr>
              <w:t>电力金具及电力线路附件生产所涉及的能源管理活动</w:t>
            </w:r>
            <w:bookmarkEnd w:id="1"/>
            <w:r>
              <w:rPr>
                <w:rFonts w:hint="eastAsia"/>
                <w:color w:val="000000" w:themeColor="text1"/>
                <w:sz w:val="20"/>
                <w:szCs w:val="22"/>
                <w:lang w:val="en-US" w:eastAsia="zh-CN"/>
              </w:rPr>
              <w:t>。</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核算边界：</w:t>
            </w:r>
            <w:r>
              <w:rPr>
                <w:rFonts w:asciiTheme="minorEastAsia" w:hAnsiTheme="minorEastAsia" w:eastAsiaTheme="minorEastAsia"/>
                <w:sz w:val="20"/>
              </w:rPr>
              <w:t>南京市六合区龙池街道龙华西路9号</w:t>
            </w:r>
            <w:r>
              <w:rPr>
                <w:rFonts w:hint="eastAsia"/>
                <w:color w:val="000000" w:themeColor="text1"/>
                <w:sz w:val="20"/>
                <w:szCs w:val="22"/>
                <w:lang w:val="en-US" w:eastAsia="zh-CN"/>
              </w:rPr>
              <w:t>的</w:t>
            </w:r>
            <w:r>
              <w:rPr>
                <w:sz w:val="21"/>
                <w:szCs w:val="21"/>
              </w:rPr>
              <w:t>中国能源建设集团南京线路器材有限公司</w:t>
            </w:r>
            <w:r>
              <w:rPr>
                <w:rFonts w:hint="eastAsia"/>
                <w:color w:val="000000" w:themeColor="text1"/>
                <w:sz w:val="20"/>
                <w:szCs w:val="22"/>
                <w:lang w:val="en-US" w:eastAsia="zh-CN"/>
              </w:rPr>
              <w:t>的</w:t>
            </w:r>
            <w:r>
              <w:rPr>
                <w:sz w:val="20"/>
                <w:highlight w:val="none"/>
              </w:rPr>
              <w:t>电力金具及电力线路附件生产所涉及的能源管理活动</w:t>
            </w:r>
            <w:r>
              <w:rPr>
                <w:rFonts w:hint="eastAsia"/>
                <w:color w:val="000000" w:themeColor="text1"/>
                <w:sz w:val="20"/>
                <w:szCs w:val="22"/>
                <w:lang w:val="en-US" w:eastAsia="zh-CN"/>
              </w:rPr>
              <w:t>；该活动涵盖了能源购入、转换、输送、使用所涉及的生产系统、辅助生产系统和附属生产系统活动全过程。</w:t>
            </w:r>
          </w:p>
          <w:p>
            <w:pPr>
              <w:ind w:firstLine="400" w:firstLineChars="200"/>
              <w:rPr>
                <w:rFonts w:hint="default"/>
                <w:color w:val="000000" w:themeColor="text1"/>
                <w:lang w:val="en-US" w:eastAsia="zh-CN"/>
              </w:rPr>
            </w:pPr>
            <w:r>
              <w:rPr>
                <w:rFonts w:hint="eastAsia"/>
                <w:color w:val="000000" w:themeColor="text1"/>
                <w:sz w:val="20"/>
                <w:szCs w:val="22"/>
                <w:lang w:val="en-US" w:eastAsia="zh-CN"/>
              </w:rPr>
              <w:t>公司没有多场所和临时场所。</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能源管理体系的建立与策划</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4.4</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公司总经理重视节能降耗工作，为了系统高效地开展节约能源工作，使公司原有的节能管理更加系统化、规范化、标准化，公司根据GB/T 23331-2020 idt ISO 50001:2018标准、RB/T119-2015机械制造企业认证要求及国家相关法律法规，充分结合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2022年1月10日正式实施运行以来，至今已取得较好的能源绩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领导作用和承诺</w:t>
            </w:r>
          </w:p>
        </w:tc>
        <w:tc>
          <w:tcPr>
            <w:tcW w:w="9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5.1 </w:t>
            </w:r>
          </w:p>
        </w:tc>
        <w:tc>
          <w:tcPr>
            <w:tcW w:w="10376" w:type="dxa"/>
          </w:tcPr>
          <w:p>
            <w:pPr>
              <w:ind w:firstLine="420" w:firstLineChars="200"/>
              <w:rPr>
                <w:rFonts w:hint="eastAsia"/>
                <w:color w:val="000000" w:themeColor="text1"/>
                <w:sz w:val="20"/>
                <w:lang w:val="en-US" w:eastAsia="zh-CN"/>
              </w:rPr>
            </w:pPr>
            <w:r>
              <w:rPr>
                <w:rFonts w:hint="eastAsia" w:asciiTheme="minorEastAsia" w:hAnsiTheme="minorEastAsia" w:eastAsiaTheme="minorEastAsia"/>
                <w:color w:val="000000" w:themeColor="text1"/>
                <w:szCs w:val="21"/>
              </w:rPr>
              <w:t>公司手册中明确了公司领导层的承诺和要求，包括：体系的理念融入到公司管理工作的各个环节中并得到运用，通过以下活动，对其建立、实施和改进能源管理体系并持续改进其有效性的承诺提供证据：在企业内部传达满足法律法规要求的重要性；制定能源方针；确保能源目标的制定；确保组建能源管理团队；确保能源绩效参数恰当反映能源绩效；进行管理评审；确保能源管理体系所需资源的配置和获得等</w:t>
            </w:r>
            <w:r>
              <w:rPr>
                <w:rFonts w:asciiTheme="minorEastAsia" w:hAnsiTheme="minorEastAsia" w:eastAsiaTheme="minorEastAsia"/>
                <w:color w:val="000000" w:themeColor="text1"/>
                <w:szCs w:val="21"/>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spacing w:line="240" w:lineRule="auto"/>
              <w:rPr>
                <w:rFonts w:hint="eastAsia"/>
                <w:color w:val="000000" w:themeColor="text1"/>
                <w:lang w:val="en-US" w:eastAsia="zh-CN"/>
              </w:rPr>
            </w:pPr>
            <w:r>
              <w:rPr>
                <w:rFonts w:hint="eastAsia"/>
                <w:color w:val="000000" w:themeColor="text1"/>
                <w:lang w:val="en-US" w:eastAsia="zh-CN"/>
              </w:rPr>
              <w:t>能源方针</w:t>
            </w:r>
          </w:p>
          <w:p>
            <w:pPr>
              <w:pStyle w:val="16"/>
              <w:spacing w:line="240" w:lineRule="auto"/>
              <w:rPr>
                <w:rFonts w:hint="default"/>
                <w:color w:val="000000" w:themeColor="text1"/>
                <w:lang w:val="en-US" w:eastAsia="zh-CN"/>
              </w:rPr>
            </w:pPr>
            <w:r>
              <w:rPr>
                <w:rFonts w:hint="eastAsia" w:ascii="宋体" w:hAnsi="宋体" w:cs="Times New Roman"/>
                <w:color w:val="000000" w:themeColor="text1"/>
                <w:sz w:val="21"/>
                <w:szCs w:val="21"/>
                <w:lang w:val="en-US" w:eastAsia="zh-CN"/>
              </w:rPr>
              <w:t>目标指标</w:t>
            </w:r>
          </w:p>
        </w:tc>
        <w:tc>
          <w:tcPr>
            <w:tcW w:w="960" w:type="dxa"/>
          </w:tcPr>
          <w:p>
            <w:pPr>
              <w:spacing w:line="240" w:lineRule="auto"/>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5.2 </w:t>
            </w:r>
          </w:p>
          <w:p>
            <w:pPr>
              <w:spacing w:line="240" w:lineRule="auto"/>
              <w:rPr>
                <w:rFonts w:hint="default"/>
                <w:color w:val="000000" w:themeColor="text1"/>
                <w:lang w:val="en-US" w:eastAsia="zh-CN"/>
              </w:rPr>
            </w:pPr>
            <w:r>
              <w:rPr>
                <w:rFonts w:hint="eastAsia" w:ascii="宋体" w:hAnsi="宋体" w:eastAsia="宋体" w:cs="Times New Roman"/>
                <w:color w:val="000000" w:themeColor="text1"/>
                <w:sz w:val="21"/>
                <w:szCs w:val="21"/>
                <w:lang w:val="en-US" w:eastAsia="zh-CN"/>
              </w:rPr>
              <w:t>6.2</w:t>
            </w:r>
          </w:p>
        </w:tc>
        <w:tc>
          <w:tcPr>
            <w:tcW w:w="10376" w:type="dxa"/>
          </w:tcPr>
          <w:p>
            <w:pPr>
              <w:pStyle w:val="16"/>
              <w:spacing w:line="240" w:lineRule="auto"/>
              <w:rPr>
                <w:rFonts w:hint="default" w:cs="Times New Roman"/>
                <w:bCs w:val="0"/>
                <w:color w:val="000000" w:themeColor="text1"/>
                <w:spacing w:val="0"/>
                <w:kern w:val="2"/>
                <w:sz w:val="21"/>
                <w:szCs w:val="21"/>
                <w:highlight w:val="none"/>
                <w:lang w:val="en-US" w:eastAsia="zh-CN" w:bidi="ar-SA"/>
              </w:rPr>
            </w:pPr>
            <w:r>
              <w:rPr>
                <w:rFonts w:hint="eastAsia" w:cs="Times New Roman"/>
                <w:bCs w:val="0"/>
                <w:color w:val="000000" w:themeColor="text1"/>
                <w:spacing w:val="0"/>
                <w:kern w:val="2"/>
                <w:sz w:val="21"/>
                <w:szCs w:val="21"/>
                <w:highlight w:val="none"/>
                <w:lang w:val="en-US" w:eastAsia="zh-CN" w:bidi="ar-SA"/>
              </w:rPr>
              <w:t>提供《</w:t>
            </w:r>
            <w:r>
              <w:rPr>
                <w:rFonts w:hint="eastAsia"/>
                <w:sz w:val="21"/>
                <w:szCs w:val="21"/>
                <w:lang w:val="en-US" w:eastAsia="zh-CN"/>
              </w:rPr>
              <w:t>NYJS/NY CX-03-2022</w:t>
            </w:r>
            <w:r>
              <w:rPr>
                <w:rFonts w:hint="eastAsia" w:ascii="宋体" w:hAnsi="宋体" w:eastAsia="宋体" w:cs="宋体"/>
                <w:sz w:val="21"/>
                <w:szCs w:val="21"/>
                <w:lang w:val="en-US" w:eastAsia="zh-CN"/>
              </w:rPr>
              <w:t>目标、指标的制定控制程序</w:t>
            </w:r>
            <w:r>
              <w:rPr>
                <w:rFonts w:hint="eastAsia" w:cs="Times New Roman"/>
                <w:bCs w:val="0"/>
                <w:color w:val="000000" w:themeColor="text1"/>
                <w:spacing w:val="0"/>
                <w:kern w:val="2"/>
                <w:sz w:val="21"/>
                <w:szCs w:val="21"/>
                <w:highlight w:val="none"/>
                <w:lang w:val="en-US" w:eastAsia="zh-CN" w:bidi="ar-SA"/>
              </w:rPr>
              <w:t>》，有编制审批，符合标准要求。</w:t>
            </w:r>
          </w:p>
          <w:p>
            <w:pPr>
              <w:widowControl/>
              <w:rPr>
                <w:rFonts w:hint="eastAsia" w:asciiTheme="majorEastAsia" w:hAnsiTheme="majorEastAsia" w:eastAsiaTheme="majorEastAsia" w:cstheme="majorEastAsia"/>
                <w:bCs w:val="0"/>
                <w:color w:val="000000" w:themeColor="text1"/>
                <w:spacing w:val="0"/>
                <w:kern w:val="2"/>
                <w:sz w:val="21"/>
                <w:szCs w:val="21"/>
                <w:highlight w:val="none"/>
                <w:lang w:val="en-US" w:eastAsia="zh-CN" w:bidi="ar-SA"/>
              </w:rPr>
            </w:pPr>
            <w:r>
              <w:rPr>
                <w:rFonts w:hint="eastAsia" w:cs="Times New Roman"/>
                <w:bCs w:val="0"/>
                <w:color w:val="000000" w:themeColor="text1"/>
                <w:spacing w:val="0"/>
                <w:kern w:val="2"/>
                <w:sz w:val="21"/>
                <w:szCs w:val="21"/>
                <w:highlight w:val="none"/>
                <w:lang w:val="en-US" w:eastAsia="zh-CN" w:bidi="ar-SA"/>
              </w:rPr>
              <w:t>能源方针：</w:t>
            </w:r>
            <w:r>
              <w:rPr>
                <w:rFonts w:hint="eastAsia" w:asciiTheme="minorEastAsia" w:hAnsiTheme="minorEastAsia" w:cstheme="minorEastAsia"/>
                <w:color w:val="auto"/>
                <w:kern w:val="0"/>
                <w:sz w:val="21"/>
                <w:szCs w:val="21"/>
              </w:rPr>
              <w:t>遵守法规</w:t>
            </w:r>
            <w:r>
              <w:rPr>
                <w:rFonts w:hint="eastAsia" w:asciiTheme="minorEastAsia" w:hAnsiTheme="minorEastAsia" w:cstheme="minorEastAsia"/>
                <w:color w:val="auto"/>
                <w:kern w:val="0"/>
                <w:sz w:val="21"/>
                <w:szCs w:val="21"/>
                <w:lang w:eastAsia="zh-CN"/>
              </w:rPr>
              <w:t>、</w:t>
            </w:r>
            <w:r>
              <w:rPr>
                <w:rFonts w:hint="eastAsia" w:asciiTheme="minorEastAsia" w:hAnsiTheme="minorEastAsia" w:cstheme="minorEastAsia"/>
                <w:color w:val="auto"/>
                <w:kern w:val="0"/>
                <w:sz w:val="21"/>
                <w:szCs w:val="21"/>
              </w:rPr>
              <w:t>清洁生产</w:t>
            </w:r>
            <w:r>
              <w:rPr>
                <w:rFonts w:hint="eastAsia" w:asciiTheme="minorEastAsia" w:hAnsiTheme="minorEastAsia" w:cstheme="minorEastAsia"/>
                <w:color w:val="auto"/>
                <w:kern w:val="0"/>
                <w:sz w:val="21"/>
                <w:szCs w:val="21"/>
                <w:lang w:eastAsia="zh-CN"/>
              </w:rPr>
              <w:t>、</w:t>
            </w:r>
            <w:r>
              <w:rPr>
                <w:rFonts w:hint="eastAsia" w:asciiTheme="minorEastAsia" w:hAnsiTheme="minorEastAsia" w:cstheme="minorEastAsia"/>
                <w:color w:val="auto"/>
                <w:kern w:val="0"/>
                <w:sz w:val="21"/>
                <w:szCs w:val="21"/>
              </w:rPr>
              <w:t>创新改造</w:t>
            </w:r>
            <w:r>
              <w:rPr>
                <w:rFonts w:hint="eastAsia" w:asciiTheme="minorEastAsia" w:hAnsiTheme="minorEastAsia" w:cstheme="minorEastAsia"/>
                <w:color w:val="auto"/>
                <w:kern w:val="0"/>
                <w:sz w:val="21"/>
                <w:szCs w:val="21"/>
                <w:lang w:eastAsia="zh-CN"/>
              </w:rPr>
              <w:t>、</w:t>
            </w:r>
            <w:r>
              <w:rPr>
                <w:rFonts w:hint="eastAsia" w:asciiTheme="minorEastAsia" w:hAnsiTheme="minorEastAsia" w:cstheme="minorEastAsia"/>
                <w:color w:val="auto"/>
                <w:kern w:val="0"/>
                <w:sz w:val="21"/>
                <w:szCs w:val="21"/>
              </w:rPr>
              <w:t>提高能效</w:t>
            </w:r>
            <w:r>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t>。</w:t>
            </w: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能源方针内容基本符合标准要求和企业实际。能源方针由总经理批准</w:t>
            </w:r>
            <w:r>
              <w:rPr>
                <w:rFonts w:hint="eastAsia" w:asciiTheme="majorEastAsia" w:hAnsiTheme="majorEastAsia" w:eastAsiaTheme="majorEastAsia" w:cstheme="majorEastAsia"/>
                <w:bCs w:val="0"/>
                <w:color w:val="000000" w:themeColor="text1"/>
                <w:spacing w:val="0"/>
                <w:kern w:val="2"/>
                <w:sz w:val="21"/>
                <w:szCs w:val="21"/>
                <w:highlight w:val="none"/>
                <w:lang w:val="en-US" w:eastAsia="zh-CN" w:bidi="ar-SA"/>
              </w:rPr>
              <w:t>发布，以书面、电子媒介、宣传栏等方式，便于员工、顾客及其他相关方所获取，并且予以评审。</w:t>
            </w:r>
          </w:p>
          <w:p>
            <w:pPr>
              <w:pStyle w:val="16"/>
              <w:spacing w:line="240" w:lineRule="auto"/>
              <w:rPr>
                <w:rFonts w:hint="eastAsia" w:asciiTheme="majorEastAsia" w:hAnsiTheme="majorEastAsia" w:eastAsiaTheme="majorEastAsia" w:cstheme="majorEastAsia"/>
                <w:bCs w:val="0"/>
                <w:color w:val="000000" w:themeColor="text1"/>
                <w:spacing w:val="0"/>
                <w:kern w:val="2"/>
                <w:sz w:val="21"/>
                <w:szCs w:val="21"/>
                <w:highlight w:val="none"/>
                <w:lang w:val="en-US" w:eastAsia="zh-CN" w:bidi="ar-SA"/>
              </w:rPr>
            </w:pPr>
            <w:r>
              <w:rPr>
                <w:rFonts w:hint="eastAsia" w:asciiTheme="majorEastAsia" w:hAnsiTheme="majorEastAsia" w:eastAsiaTheme="majorEastAsia" w:cstheme="majorEastAsia"/>
                <w:bCs w:val="0"/>
                <w:color w:val="000000" w:themeColor="text1"/>
                <w:spacing w:val="0"/>
                <w:kern w:val="2"/>
                <w:sz w:val="21"/>
                <w:szCs w:val="21"/>
                <w:highlight w:val="none"/>
                <w:lang w:val="en-US" w:eastAsia="zh-CN" w:bidi="ar-SA"/>
              </w:rPr>
              <w:t>公司的能源目标制定和完成情况如下：</w:t>
            </w:r>
          </w:p>
          <w:p>
            <w:pPr>
              <w:pStyle w:val="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2022年度能源目标及完成情况：</w:t>
            </w:r>
          </w:p>
          <w:p>
            <w:pPr>
              <w:pStyle w:val="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综合能耗</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1160 t</w:t>
            </w:r>
            <w:r>
              <w:rPr>
                <w:rFonts w:hint="eastAsia" w:asciiTheme="majorEastAsia" w:hAnsiTheme="majorEastAsia" w:eastAsiaTheme="majorEastAsia" w:cstheme="majorEastAsia"/>
                <w:sz w:val="21"/>
                <w:szCs w:val="21"/>
                <w:highlight w:val="none"/>
              </w:rPr>
              <w:t>ce</w:t>
            </w:r>
            <w:r>
              <w:rPr>
                <w:rFonts w:hint="eastAsia" w:asciiTheme="majorEastAsia" w:hAnsiTheme="majorEastAsia" w:eastAsiaTheme="majorEastAsia" w:cstheme="majorEastAsia"/>
                <w:kern w:val="2"/>
                <w:sz w:val="21"/>
                <w:szCs w:val="21"/>
                <w:highlight w:val="none"/>
                <w:lang w:val="en-US" w:eastAsia="zh-CN" w:bidi="ar-SA"/>
              </w:rPr>
              <w:t>；</w:t>
            </w:r>
            <w:r>
              <w:rPr>
                <w:rFonts w:hint="eastAsia" w:asciiTheme="majorEastAsia" w:hAnsiTheme="majorEastAsia" w:eastAsiaTheme="majorEastAsia" w:cstheme="majorEastAsia"/>
                <w:sz w:val="21"/>
                <w:szCs w:val="21"/>
                <w:highlight w:val="none"/>
              </w:rPr>
              <w:t>单位产品综合能耗</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55 kg</w:t>
            </w:r>
            <w:r>
              <w:rPr>
                <w:rFonts w:hint="eastAsia" w:asciiTheme="majorEastAsia" w:hAnsiTheme="majorEastAsia" w:eastAsiaTheme="majorEastAsia" w:cstheme="majorEastAsia"/>
                <w:sz w:val="21"/>
                <w:szCs w:val="21"/>
                <w:highlight w:val="none"/>
              </w:rPr>
              <w:t>ce/</w:t>
            </w:r>
            <w:r>
              <w:rPr>
                <w:rFonts w:hint="eastAsia" w:asciiTheme="majorEastAsia" w:hAnsiTheme="majorEastAsia" w:eastAsiaTheme="majorEastAsia" w:cstheme="majorEastAsia"/>
                <w:sz w:val="21"/>
                <w:szCs w:val="21"/>
                <w:highlight w:val="none"/>
                <w:lang w:val="en-US" w:eastAsia="zh-CN"/>
              </w:rPr>
              <w:t>台</w:t>
            </w:r>
            <w:r>
              <w:rPr>
                <w:rFonts w:hint="eastAsia" w:asciiTheme="majorEastAsia" w:hAnsiTheme="majorEastAsia" w:eastAsiaTheme="majorEastAsia" w:cstheme="majorEastAsia"/>
                <w:kern w:val="2"/>
                <w:sz w:val="21"/>
                <w:szCs w:val="21"/>
                <w:highlight w:val="none"/>
                <w:lang w:val="en-US" w:eastAsia="zh-CN" w:bidi="ar-SA"/>
              </w:rPr>
              <w:t>；</w:t>
            </w:r>
            <w:r>
              <w:rPr>
                <w:rFonts w:hint="eastAsia" w:asciiTheme="majorEastAsia" w:hAnsiTheme="majorEastAsia" w:eastAsiaTheme="majorEastAsia" w:cstheme="majorEastAsia"/>
                <w:sz w:val="21"/>
                <w:szCs w:val="21"/>
                <w:highlight w:val="none"/>
              </w:rPr>
              <w:t>单位产值综合能耗</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24 kg</w:t>
            </w:r>
            <w:r>
              <w:rPr>
                <w:rFonts w:hint="eastAsia" w:asciiTheme="majorEastAsia" w:hAnsiTheme="majorEastAsia" w:eastAsiaTheme="majorEastAsia" w:cstheme="majorEastAsia"/>
                <w:sz w:val="21"/>
                <w:szCs w:val="21"/>
                <w:highlight w:val="none"/>
              </w:rPr>
              <w:t>ce/万元</w:t>
            </w:r>
            <w:r>
              <w:rPr>
                <w:rFonts w:hint="eastAsia" w:asciiTheme="majorEastAsia" w:hAnsiTheme="majorEastAsia" w:eastAsiaTheme="majorEastAsia" w:cstheme="majorEastAsia"/>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kern w:val="2"/>
                <w:sz w:val="21"/>
                <w:szCs w:val="21"/>
                <w:highlight w:val="none"/>
                <w:lang w:val="en-US" w:eastAsia="zh-CN" w:bidi="ar-SA"/>
              </w:rPr>
              <w:t>公司2022年1-8月公司</w:t>
            </w:r>
            <w:r>
              <w:rPr>
                <w:rFonts w:hint="eastAsia" w:asciiTheme="majorEastAsia" w:hAnsiTheme="majorEastAsia" w:eastAsiaTheme="majorEastAsia" w:cstheme="majorEastAsia"/>
                <w:sz w:val="21"/>
                <w:szCs w:val="21"/>
                <w:highlight w:val="none"/>
              </w:rPr>
              <w:t>综合能耗</w:t>
            </w:r>
            <w:r>
              <w:rPr>
                <w:rFonts w:hint="eastAsia" w:asciiTheme="majorEastAsia" w:hAnsiTheme="majorEastAsia" w:eastAsiaTheme="majorEastAsia" w:cstheme="majorEastAsia"/>
                <w:color w:val="auto"/>
                <w:sz w:val="21"/>
                <w:szCs w:val="21"/>
                <w:highlight w:val="none"/>
                <w:lang w:val="en-US" w:eastAsia="zh-CN"/>
              </w:rPr>
              <w:t>实际完成</w:t>
            </w:r>
            <w:r>
              <w:rPr>
                <w:rFonts w:hint="eastAsia" w:ascii="宋体" w:hAnsi="宋体"/>
                <w:sz w:val="21"/>
                <w:szCs w:val="21"/>
                <w:lang w:val="en-US" w:eastAsia="zh-CN"/>
              </w:rPr>
              <w:t>783.691</w:t>
            </w:r>
            <w:r>
              <w:rPr>
                <w:rFonts w:hint="eastAsia" w:asciiTheme="majorEastAsia" w:hAnsiTheme="majorEastAsia" w:eastAsiaTheme="majorEastAsia" w:cstheme="majorEastAsia"/>
                <w:sz w:val="21"/>
                <w:szCs w:val="21"/>
                <w:highlight w:val="none"/>
                <w:lang w:val="en-US" w:eastAsia="zh-CN"/>
              </w:rPr>
              <w:t>t</w:t>
            </w:r>
            <w:r>
              <w:rPr>
                <w:rFonts w:hint="eastAsia" w:asciiTheme="majorEastAsia" w:hAnsiTheme="majorEastAsia" w:eastAsiaTheme="majorEastAsia" w:cstheme="majorEastAsia"/>
                <w:sz w:val="21"/>
                <w:szCs w:val="21"/>
                <w:highlight w:val="none"/>
              </w:rPr>
              <w:t>ce</w:t>
            </w:r>
            <w:r>
              <w:rPr>
                <w:rFonts w:hint="eastAsia" w:asciiTheme="majorEastAsia" w:hAnsiTheme="majorEastAsia" w:eastAsiaTheme="majorEastAsia" w:cstheme="majorEastAsia"/>
                <w:kern w:val="2"/>
                <w:sz w:val="21"/>
                <w:szCs w:val="21"/>
                <w:highlight w:val="none"/>
                <w:lang w:val="en-US" w:eastAsia="zh-CN" w:bidi="ar-SA"/>
              </w:rPr>
              <w:t>；</w:t>
            </w:r>
            <w:r>
              <w:rPr>
                <w:rFonts w:hint="eastAsia" w:asciiTheme="majorEastAsia" w:hAnsiTheme="majorEastAsia" w:eastAsiaTheme="majorEastAsia" w:cstheme="majorEastAsia"/>
                <w:sz w:val="21"/>
                <w:szCs w:val="21"/>
                <w:highlight w:val="none"/>
              </w:rPr>
              <w:t>单位产品综合能耗</w:t>
            </w:r>
            <w:r>
              <w:rPr>
                <w:rFonts w:hint="eastAsia" w:asciiTheme="majorEastAsia" w:hAnsiTheme="majorEastAsia" w:eastAsiaTheme="majorEastAsia" w:cstheme="majorEastAsia"/>
                <w:color w:val="auto"/>
                <w:sz w:val="21"/>
                <w:szCs w:val="21"/>
                <w:highlight w:val="none"/>
                <w:lang w:val="en-US" w:eastAsia="zh-CN"/>
              </w:rPr>
              <w:t xml:space="preserve">实际完成60.97 </w:t>
            </w:r>
            <w:r>
              <w:rPr>
                <w:rFonts w:hint="eastAsia" w:asciiTheme="majorEastAsia" w:hAnsiTheme="majorEastAsia" w:eastAsiaTheme="majorEastAsia" w:cstheme="majorEastAsia"/>
                <w:sz w:val="21"/>
                <w:szCs w:val="21"/>
                <w:highlight w:val="none"/>
                <w:lang w:val="en-US" w:eastAsia="zh-CN"/>
              </w:rPr>
              <w:t>kg</w:t>
            </w:r>
            <w:r>
              <w:rPr>
                <w:rFonts w:hint="eastAsia" w:asciiTheme="majorEastAsia" w:hAnsiTheme="majorEastAsia" w:eastAsiaTheme="majorEastAsia" w:cstheme="majorEastAsia"/>
                <w:sz w:val="21"/>
                <w:szCs w:val="21"/>
                <w:highlight w:val="none"/>
              </w:rPr>
              <w:t>ce/</w:t>
            </w:r>
            <w:r>
              <w:rPr>
                <w:rFonts w:hint="eastAsia" w:asciiTheme="majorEastAsia" w:hAnsiTheme="majorEastAsia" w:eastAsiaTheme="majorEastAsia" w:cstheme="majorEastAsia"/>
                <w:sz w:val="21"/>
                <w:szCs w:val="21"/>
                <w:highlight w:val="none"/>
                <w:lang w:val="en-US" w:eastAsia="zh-CN"/>
              </w:rPr>
              <w:t>台</w:t>
            </w:r>
            <w:r>
              <w:rPr>
                <w:rFonts w:hint="eastAsia" w:asciiTheme="majorEastAsia" w:hAnsiTheme="majorEastAsia" w:eastAsiaTheme="majorEastAsia" w:cstheme="majorEastAsia"/>
                <w:kern w:val="2"/>
                <w:sz w:val="21"/>
                <w:szCs w:val="21"/>
                <w:highlight w:val="none"/>
                <w:lang w:val="en-US" w:eastAsia="zh-CN" w:bidi="ar-SA"/>
              </w:rPr>
              <w:t>，</w:t>
            </w:r>
            <w:r>
              <w:rPr>
                <w:rFonts w:hint="eastAsia" w:asciiTheme="majorEastAsia" w:hAnsiTheme="majorEastAsia" w:eastAsiaTheme="majorEastAsia" w:cstheme="majorEastAsia"/>
                <w:sz w:val="21"/>
                <w:szCs w:val="21"/>
                <w:highlight w:val="none"/>
              </w:rPr>
              <w:t>单位产值综合能耗</w:t>
            </w:r>
            <w:r>
              <w:rPr>
                <w:rFonts w:hint="eastAsia" w:asciiTheme="majorEastAsia" w:hAnsiTheme="majorEastAsia" w:eastAsiaTheme="majorEastAsia" w:cstheme="majorEastAsia"/>
                <w:color w:val="auto"/>
                <w:sz w:val="21"/>
                <w:szCs w:val="21"/>
                <w:highlight w:val="none"/>
                <w:lang w:val="en-US" w:eastAsia="zh-CN"/>
              </w:rPr>
              <w:t>完成23.56kg</w:t>
            </w:r>
            <w:r>
              <w:rPr>
                <w:rFonts w:hint="eastAsia" w:asciiTheme="majorEastAsia" w:hAnsiTheme="majorEastAsia" w:eastAsiaTheme="majorEastAsia" w:cstheme="majorEastAsia"/>
                <w:sz w:val="21"/>
                <w:szCs w:val="21"/>
                <w:highlight w:val="none"/>
              </w:rPr>
              <w:t>ce/万元</w:t>
            </w:r>
            <w:r>
              <w:rPr>
                <w:rFonts w:hint="eastAsia" w:asciiTheme="majorEastAsia" w:hAnsiTheme="majorEastAsia" w:eastAsiaTheme="majorEastAsia" w:cstheme="majorEastAsia"/>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default" w:cs="Times New Roman"/>
                <w:bCs w:val="0"/>
                <w:color w:val="000000" w:themeColor="text1"/>
                <w:spacing w:val="0"/>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公司综合能耗和万元产值指标完成目标，单位产品综合能耗指标超出年初设定的指标，企业未进行原因分析，已于企业进行沟通，并建议列为观察项。</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组织的岗位、职责和权限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5.3 </w:t>
            </w:r>
          </w:p>
        </w:tc>
        <w:tc>
          <w:tcPr>
            <w:tcW w:w="10376" w:type="dxa"/>
          </w:tcPr>
          <w:p>
            <w:pPr>
              <w:spacing w:line="240" w:lineRule="auto"/>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公司成立能源管理团队</w:t>
            </w:r>
            <w:r>
              <w:rPr>
                <w:rFonts w:hint="eastAsia" w:ascii="宋体" w:hAnsi="宋体" w:cs="宋体"/>
                <w:color w:val="000000" w:themeColor="text1"/>
                <w:sz w:val="21"/>
                <w:szCs w:val="21"/>
                <w:lang w:eastAsia="zh-CN"/>
              </w:rPr>
              <w:t>。</w:t>
            </w:r>
          </w:p>
          <w:p>
            <w:pPr>
              <w:spacing w:line="240" w:lineRule="auto"/>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公司设有</w:t>
            </w:r>
            <w:r>
              <w:rPr>
                <w:rFonts w:hint="eastAsia"/>
                <w:color w:val="000000" w:themeColor="text1"/>
                <w:sz w:val="21"/>
                <w:szCs w:val="21"/>
              </w:rPr>
              <w:t>管理层、</w:t>
            </w:r>
            <w:r>
              <w:rPr>
                <w:rFonts w:hint="eastAsia"/>
                <w:color w:val="000000" w:themeColor="text1"/>
                <w:sz w:val="21"/>
                <w:szCs w:val="21"/>
                <w:lang w:val="en-US" w:eastAsia="zh-CN"/>
              </w:rPr>
              <w:t>人力资源部</w:t>
            </w:r>
            <w:r>
              <w:rPr>
                <w:rFonts w:hint="eastAsia"/>
                <w:color w:val="000000" w:themeColor="text1"/>
                <w:sz w:val="21"/>
                <w:szCs w:val="21"/>
              </w:rPr>
              <w:t>、</w:t>
            </w:r>
            <w:r>
              <w:rPr>
                <w:rFonts w:hint="eastAsia"/>
                <w:color w:val="000000" w:themeColor="text1"/>
                <w:sz w:val="21"/>
                <w:szCs w:val="21"/>
                <w:lang w:val="en-US" w:eastAsia="zh-CN"/>
              </w:rPr>
              <w:t>市场营销部、质量管理部、</w:t>
            </w:r>
            <w:r>
              <w:rPr>
                <w:rFonts w:hint="eastAsia" w:ascii="宋体" w:hAnsi="宋体" w:cs="Times New Roman"/>
                <w:b w:val="0"/>
                <w:bCs w:val="0"/>
                <w:spacing w:val="0"/>
                <w:kern w:val="2"/>
                <w:sz w:val="21"/>
                <w:szCs w:val="21"/>
                <w:lang w:val="en-US" w:eastAsia="zh-CN" w:bidi="ar-SA"/>
              </w:rPr>
              <w:t>生产管理</w:t>
            </w:r>
            <w:r>
              <w:rPr>
                <w:rFonts w:hint="eastAsia" w:ascii="宋体" w:hAnsi="宋体" w:eastAsia="宋体" w:cs="Times New Roman"/>
                <w:b w:val="0"/>
                <w:bCs w:val="0"/>
                <w:spacing w:val="0"/>
                <w:kern w:val="2"/>
                <w:sz w:val="21"/>
                <w:szCs w:val="21"/>
                <w:lang w:val="en-US" w:eastAsia="zh-CN" w:bidi="ar-SA"/>
              </w:rPr>
              <w:t>部</w:t>
            </w:r>
            <w:r>
              <w:rPr>
                <w:rFonts w:hint="eastAsia"/>
                <w:color w:val="000000" w:themeColor="text1"/>
                <w:sz w:val="21"/>
                <w:szCs w:val="21"/>
                <w:lang w:val="en-US" w:eastAsia="zh-CN"/>
              </w:rPr>
              <w:t>等。</w:t>
            </w:r>
          </w:p>
          <w:p>
            <w:pPr>
              <w:spacing w:line="240" w:lineRule="auto"/>
              <w:rPr>
                <w:rFonts w:hint="eastAsia"/>
                <w:color w:val="000000" w:themeColor="text1"/>
                <w:sz w:val="21"/>
                <w:szCs w:val="21"/>
                <w:lang w:val="en-US" w:eastAsia="zh-CN"/>
              </w:rPr>
            </w:pPr>
            <w:r>
              <w:rPr>
                <w:rFonts w:hint="eastAsia"/>
                <w:color w:val="000000" w:themeColor="text1"/>
                <w:sz w:val="21"/>
                <w:szCs w:val="21"/>
                <w:lang w:val="en-US" w:eastAsia="zh-CN"/>
              </w:rPr>
              <w:t>从管理层到各部门、各岗位能源职责权限均以文件化予以规定在“各职能部门职责”条款中予以规定，编审批齐全。</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应对风险和机遇的措施</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6.1</w:t>
            </w:r>
          </w:p>
        </w:tc>
        <w:tc>
          <w:tcPr>
            <w:tcW w:w="10376" w:type="dxa"/>
          </w:tcPr>
          <w:p>
            <w:pPr>
              <w:ind w:firstLine="420" w:firstLineChars="200"/>
              <w:rPr>
                <w:rFonts w:hint="eastAsia"/>
                <w:lang w:val="en-US" w:eastAsia="zh-CN"/>
              </w:rPr>
            </w:pPr>
            <w:r>
              <w:rPr>
                <w:rFonts w:hint="eastAsia"/>
                <w:lang w:val="en-US" w:eastAsia="zh-CN"/>
              </w:rPr>
              <w:t>提供2022年能源风险和机遇管控清单，符合标准要求。</w:t>
            </w:r>
          </w:p>
          <w:p>
            <w:pPr>
              <w:ind w:firstLine="420" w:firstLineChars="200"/>
              <w:rPr>
                <w:rFonts w:hint="default"/>
                <w:lang w:val="en-US" w:eastAsia="zh-CN"/>
              </w:rPr>
            </w:pPr>
            <w:r>
              <w:rPr>
                <w:rFonts w:hint="eastAsia"/>
                <w:lang w:val="en-US" w:eastAsia="zh-CN"/>
              </w:rPr>
              <w:t>公司通过对目标和战略方向相关影响其实现能源管理体系预期结果的各种内外部环境因素的识别与评价，有效应对风险和机遇。</w:t>
            </w:r>
          </w:p>
          <w:p>
            <w:pPr>
              <w:ind w:firstLine="420" w:firstLineChars="200"/>
              <w:rPr>
                <w:rFonts w:hint="eastAsia"/>
                <w:lang w:val="en-US" w:eastAsia="zh-CN"/>
              </w:rPr>
            </w:pPr>
            <w:r>
              <w:rPr>
                <w:rFonts w:hint="eastAsia"/>
                <w:lang w:val="en-US" w:eastAsia="zh-CN"/>
              </w:rPr>
              <w:t xml:space="preserve">公司管理层通过战略分析与风险识别工作确认影响目标实现的内部和外部风险因素。 </w:t>
            </w:r>
          </w:p>
          <w:p>
            <w:pPr>
              <w:ind w:firstLine="420" w:firstLineChars="200"/>
              <w:rPr>
                <w:rFonts w:hint="eastAsia"/>
                <w:lang w:val="en-US" w:eastAsia="zh-CN"/>
              </w:rPr>
            </w:pPr>
            <w:r>
              <w:rPr>
                <w:rFonts w:hint="eastAsia"/>
                <w:lang w:val="en-US" w:eastAsia="zh-CN"/>
              </w:rPr>
              <w:t>公司的各职能部门、生产单位利用月度生产经营分析会负责对能源风险进行评价，根据风险因素发生的可能性和影响，风险控制与应对；公司建立并严格执行授权管理、决策管理、内部审计、绩效考核及重要岗位权力制衡制度等内控措施，控制重要业务、关键流程、关键控制点和重大风险，对高风险业务程序合规。</w:t>
            </w:r>
          </w:p>
          <w:p>
            <w:pPr>
              <w:ind w:firstLine="420" w:firstLineChars="200"/>
              <w:rPr>
                <w:rFonts w:hint="default"/>
                <w:lang w:val="en-US" w:eastAsia="zh-CN"/>
              </w:rPr>
            </w:pPr>
            <w:r>
              <w:rPr>
                <w:rFonts w:hint="eastAsia"/>
                <w:lang w:val="en-US" w:eastAsia="zh-CN"/>
              </w:rPr>
              <w:t>提供《能源重要因素清单》，按照：序号、工序、重要能源因素（活动/产品/服务，能源消耗或能源利用效率）、能源种类（一、二次、新能源）、控制措施，共识别出3个高风险因素，均有管控措施。</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资源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7.1 </w:t>
            </w:r>
          </w:p>
        </w:tc>
        <w:tc>
          <w:tcPr>
            <w:tcW w:w="10376" w:type="dxa"/>
          </w:tcPr>
          <w:p>
            <w:pPr>
              <w:widowControl/>
              <w:spacing w:after="0"/>
              <w:ind w:firstLine="420" w:firstLineChars="200"/>
              <w:jc w:val="left"/>
              <w:rPr>
                <w:rFonts w:hint="eastAsia"/>
              </w:rPr>
            </w:pPr>
            <w:r>
              <w:rPr>
                <w:rFonts w:hint="eastAsia"/>
              </w:rPr>
              <w:t>公司总人数</w:t>
            </w:r>
            <w:r>
              <w:rPr>
                <w:rFonts w:hint="eastAsia"/>
                <w:lang w:val="en-US" w:eastAsia="zh-CN"/>
              </w:rPr>
              <w:t>400</w:t>
            </w:r>
            <w:r>
              <w:rPr>
                <w:rFonts w:hint="eastAsia"/>
              </w:rPr>
              <w:t>人，其中体系覆盖人数</w:t>
            </w:r>
            <w:r>
              <w:rPr>
                <w:rFonts w:hint="eastAsia"/>
                <w:lang w:val="en-US" w:eastAsia="zh-CN"/>
              </w:rPr>
              <w:t>150</w:t>
            </w:r>
            <w:r>
              <w:rPr>
                <w:rFonts w:hint="eastAsia"/>
              </w:rPr>
              <w:t>人。管理人员</w:t>
            </w:r>
            <w:r>
              <w:rPr>
                <w:rFonts w:hint="eastAsia"/>
                <w:lang w:val="en-US" w:eastAsia="zh-CN"/>
              </w:rPr>
              <w:t>30人</w:t>
            </w:r>
            <w:r>
              <w:rPr>
                <w:rFonts w:hint="eastAsia"/>
              </w:rPr>
              <w:t>，作业人员</w:t>
            </w:r>
            <w:r>
              <w:rPr>
                <w:rFonts w:hint="eastAsia"/>
                <w:lang w:val="en-US" w:eastAsia="zh-CN"/>
              </w:rPr>
              <w:t>150人</w:t>
            </w:r>
            <w:r>
              <w:rPr>
                <w:rFonts w:hint="eastAsia"/>
                <w:lang w:eastAsia="zh-CN"/>
              </w:rPr>
              <w:t>，</w:t>
            </w:r>
            <w:r>
              <w:rPr>
                <w:rFonts w:hint="eastAsia"/>
              </w:rPr>
              <w:t>从事相同/重复工作人数</w:t>
            </w:r>
            <w:r>
              <w:rPr>
                <w:rFonts w:hint="eastAsia"/>
                <w:lang w:val="en-US" w:eastAsia="zh-CN"/>
              </w:rPr>
              <w:t>0</w:t>
            </w:r>
            <w:r>
              <w:rPr>
                <w:rFonts w:hint="eastAsia"/>
              </w:rPr>
              <w:t>人；劳务派遣人员0 人；临时工0 人；其中承包商员工数0人；季节工 0 人。</w:t>
            </w:r>
          </w:p>
          <w:p>
            <w:pPr>
              <w:widowControl/>
              <w:spacing w:after="0"/>
              <w:ind w:firstLine="420" w:firstLineChars="200"/>
              <w:jc w:val="left"/>
            </w:pPr>
            <w:r>
              <w:rPr>
                <w:rFonts w:hint="eastAsia"/>
                <w:lang w:val="en-US" w:eastAsia="zh-CN"/>
              </w:rPr>
              <w:t>注册资本16314.121024万元</w:t>
            </w:r>
            <w:r>
              <w:rPr>
                <w:rFonts w:hint="eastAsia"/>
              </w:rPr>
              <w:t>。</w:t>
            </w:r>
          </w:p>
          <w:p>
            <w:pPr>
              <w:widowControl/>
              <w:spacing w:after="0"/>
              <w:ind w:firstLine="420" w:firstLineChars="200"/>
              <w:jc w:val="left"/>
              <w:rPr>
                <w:rFonts w:hint="eastAsia"/>
                <w:lang w:val="en-US" w:eastAsia="zh-CN"/>
              </w:rPr>
            </w:pPr>
            <w:r>
              <w:rPr>
                <w:rFonts w:hint="eastAsia"/>
                <w:lang w:val="en-US" w:eastAsia="zh-CN"/>
              </w:rPr>
              <w:t>企业配备数低压铸造机、数控龙门镗铣床、电动螺旋压力机、天燃气切割钢材成套设备、楔横轧等设备，消耗能源种类为电力、水、天然气、汽油等，主要消耗能源种类有电力、天然气，能源计量器具，有电表、燃气表、水表。经识别公司无高耗能设备。</w:t>
            </w:r>
          </w:p>
          <w:p>
            <w:pPr>
              <w:ind w:firstLine="420" w:firstLineChars="200"/>
              <w:rPr>
                <w:rFonts w:hint="eastAsia"/>
                <w:lang w:val="en-US" w:eastAsia="zh-CN"/>
              </w:rPr>
            </w:pPr>
            <w:r>
              <w:rPr>
                <w:rFonts w:hint="eastAsia"/>
              </w:rPr>
              <w:t>公司的组织机构：管理层、</w:t>
            </w:r>
            <w:r>
              <w:rPr>
                <w:rFonts w:hint="eastAsia"/>
                <w:lang w:val="en-US" w:eastAsia="zh-CN"/>
              </w:rPr>
              <w:t>人力资源部</w:t>
            </w:r>
            <w:r>
              <w:rPr>
                <w:rFonts w:hint="eastAsia"/>
              </w:rPr>
              <w:t>、</w:t>
            </w:r>
            <w:r>
              <w:rPr>
                <w:rFonts w:hint="eastAsia"/>
                <w:lang w:val="en-US" w:eastAsia="zh-CN"/>
              </w:rPr>
              <w:t>市场营销部、质量管理部、生产管理部等</w:t>
            </w:r>
            <w:r>
              <w:rPr>
                <w:rFonts w:hint="eastAsia"/>
              </w:rPr>
              <w:t>。</w:t>
            </w:r>
          </w:p>
          <w:p>
            <w:pPr>
              <w:ind w:firstLine="420" w:firstLineChars="200"/>
              <w:rPr>
                <w:rFonts w:hint="eastAsia"/>
                <w:lang w:val="en-US" w:eastAsia="zh-CN"/>
              </w:rPr>
            </w:pPr>
            <w:r>
              <w:rPr>
                <w:rFonts w:hint="eastAsia"/>
                <w:lang w:val="en-US" w:eastAsia="zh-CN"/>
              </w:rPr>
              <w:t>资源配置能够满足建立、实施、保持和持续改进能源绩效和能源管理体系的有效运行。</w:t>
            </w:r>
          </w:p>
          <w:p>
            <w:pPr>
              <w:pStyle w:val="2"/>
              <w:rPr>
                <w:rFonts w:hint="eastAsia"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提供资金支持</w:t>
            </w:r>
            <w:r>
              <w:rPr>
                <w:rFonts w:hint="eastAsia" w:eastAsia="宋体" w:cs="Times New Roman"/>
                <w:kern w:val="2"/>
                <w:sz w:val="21"/>
                <w:szCs w:val="22"/>
                <w:lang w:val="en-US" w:eastAsia="zh-CN" w:bidi="ar-SA"/>
              </w:rPr>
              <w:t>。2022年1-8月份支付电费3474219元（含税），水费</w:t>
            </w:r>
            <w:r>
              <w:rPr>
                <w:rFonts w:hint="eastAsia" w:eastAsia="宋体" w:cs="Times New Roman"/>
                <w:kern w:val="2"/>
                <w:sz w:val="21"/>
                <w:szCs w:val="22"/>
                <w:lang w:val="en-US" w:eastAsia="zh-CN" w:bidi="ar-SA"/>
              </w:rPr>
              <w:t>137931元（含税），天然气费用1378456元。另还有柴油费用未单独列支，已与企业进行沟通。</w:t>
            </w:r>
          </w:p>
          <w:p>
            <w:pPr>
              <w:pStyle w:val="2"/>
              <w:rPr>
                <w:rFonts w:hint="default" w:eastAsia="宋体" w:cs="Times New Roman"/>
                <w:kern w:val="2"/>
                <w:sz w:val="21"/>
                <w:szCs w:val="22"/>
                <w:lang w:val="en-US" w:eastAsia="zh-CN" w:bidi="ar-SA"/>
              </w:rPr>
            </w:pP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管理评审</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9.3 </w:t>
            </w:r>
          </w:p>
        </w:tc>
        <w:tc>
          <w:tcPr>
            <w:tcW w:w="10376" w:type="dxa"/>
          </w:tcPr>
          <w:p>
            <w:pPr>
              <w:ind w:firstLine="420" w:firstLineChars="200"/>
              <w:rPr>
                <w:rFonts w:hint="default"/>
                <w:lang w:val="en-US" w:eastAsia="zh-CN"/>
              </w:rPr>
            </w:pPr>
            <w:r>
              <w:rPr>
                <w:rFonts w:hint="eastAsia"/>
                <w:lang w:val="en-US" w:eastAsia="zh-CN"/>
              </w:rPr>
              <w:t>提供程序文件《NYJS/NY CX-21-2022</w:t>
            </w:r>
            <w:r>
              <w:rPr>
                <w:rFonts w:hint="eastAsia"/>
                <w:lang w:val="en-US" w:eastAsia="zh-CN"/>
              </w:rPr>
              <w:t>管理评审程序》，有编审批，符合标准要求。</w:t>
            </w:r>
          </w:p>
          <w:p>
            <w:pPr>
              <w:ind w:firstLine="420" w:firstLineChars="200"/>
              <w:rPr>
                <w:rFonts w:hint="eastAsia"/>
                <w:lang w:val="en-US" w:eastAsia="zh-CN"/>
              </w:rPr>
            </w:pPr>
            <w:r>
              <w:rPr>
                <w:rFonts w:hint="eastAsia"/>
                <w:lang w:val="en-US" w:eastAsia="zh-CN"/>
              </w:rPr>
              <w:t>1、公司自能源管理体系运行以来组织了一次管理评审，日期： 2022年7月20日。</w:t>
            </w:r>
          </w:p>
          <w:p>
            <w:pPr>
              <w:ind w:firstLine="420" w:firstLineChars="200"/>
              <w:rPr>
                <w:rFonts w:hint="eastAsia"/>
                <w:lang w:val="en-US" w:eastAsia="zh-CN"/>
              </w:rPr>
            </w:pPr>
            <w:r>
              <w:rPr>
                <w:rFonts w:hint="eastAsia"/>
                <w:lang w:val="en-US" w:eastAsia="zh-CN"/>
              </w:rPr>
              <w:t>采用会议形式，总经理：姜广东</w:t>
            </w:r>
            <w:r>
              <w:rPr>
                <w:rFonts w:hint="eastAsia"/>
                <w:lang w:val="en-US" w:eastAsia="zh-CN"/>
              </w:rPr>
              <w:t xml:space="preserve"> 主持会议。</w:t>
            </w:r>
            <w:r>
              <w:rPr>
                <w:rFonts w:hint="eastAsia"/>
              </w:rPr>
              <w:t>管理层、</w:t>
            </w:r>
            <w:r>
              <w:rPr>
                <w:rFonts w:hint="eastAsia"/>
                <w:lang w:val="en-US" w:eastAsia="zh-CN"/>
              </w:rPr>
              <w:t>人力资源部</w:t>
            </w:r>
            <w:r>
              <w:rPr>
                <w:rFonts w:hint="eastAsia"/>
              </w:rPr>
              <w:t>、</w:t>
            </w:r>
            <w:r>
              <w:rPr>
                <w:rFonts w:hint="eastAsia"/>
                <w:lang w:val="en-US" w:eastAsia="zh-CN"/>
              </w:rPr>
              <w:t>质量管理部、生产管理部、市场营销部等负责人均参加。</w:t>
            </w:r>
          </w:p>
          <w:p>
            <w:pPr>
              <w:ind w:firstLine="420" w:firstLineChars="200"/>
              <w:rPr>
                <w:rFonts w:hint="default"/>
                <w:lang w:val="en-US" w:eastAsia="zh-CN"/>
              </w:rPr>
            </w:pPr>
            <w:r>
              <w:rPr>
                <w:rFonts w:hint="eastAsia"/>
                <w:lang w:val="en-US" w:eastAsia="zh-CN"/>
              </w:rPr>
              <w:t>2、提供：管理评审档案，含1.管理评审计划、2.管理评审报告、3.签到表、各部门管理评审输入资料，编审批齐全。</w:t>
            </w:r>
          </w:p>
          <w:p>
            <w:pPr>
              <w:ind w:firstLine="420" w:firstLineChars="200"/>
              <w:rPr>
                <w:rFonts w:hint="eastAsia"/>
                <w:lang w:val="en-US" w:eastAsia="zh-CN"/>
              </w:rPr>
            </w:pPr>
            <w:r>
              <w:rPr>
                <w:rFonts w:hint="eastAsia"/>
                <w:lang w:val="en-US" w:eastAsia="zh-CN"/>
              </w:rPr>
              <w:t>提供“管理评审会议签到表”总经理、中层以上负责人参加并签到表；</w:t>
            </w:r>
          </w:p>
          <w:p>
            <w:pPr>
              <w:ind w:firstLine="420" w:firstLineChars="200"/>
              <w:rPr>
                <w:rFonts w:hint="eastAsia"/>
                <w:lang w:val="en-US" w:eastAsia="zh-CN"/>
              </w:rPr>
            </w:pPr>
            <w:r>
              <w:rPr>
                <w:rFonts w:hint="eastAsia"/>
                <w:lang w:val="en-US" w:eastAsia="zh-CN"/>
              </w:rPr>
              <w:t>出示“管理评审会议记录”，查评审输入内容包括：</w:t>
            </w:r>
          </w:p>
          <w:p>
            <w:pPr>
              <w:ind w:firstLine="420" w:firstLineChars="200"/>
              <w:rPr>
                <w:rFonts w:hint="eastAsia"/>
                <w:lang w:val="en-US" w:eastAsia="zh-CN"/>
              </w:rPr>
            </w:pPr>
            <w:r>
              <w:rPr>
                <w:rFonts w:hint="eastAsia"/>
                <w:lang w:val="en-US" w:eastAsia="zh-CN"/>
              </w:rPr>
              <w:t>3、评审目的：围绕管理方针和目标的贯彻实施，评价能源管理体系的适宜性，充分性和有效性。</w:t>
            </w:r>
          </w:p>
          <w:p>
            <w:pPr>
              <w:ind w:firstLine="420" w:firstLineChars="200"/>
              <w:rPr>
                <w:rFonts w:hint="eastAsia"/>
                <w:lang w:val="en-US" w:eastAsia="zh-CN"/>
              </w:rPr>
            </w:pPr>
            <w:r>
              <w:rPr>
                <w:rFonts w:hint="eastAsia"/>
                <w:lang w:val="en-US" w:eastAsia="zh-CN"/>
              </w:rPr>
              <w:t>评审组织：主持人：姜广东</w:t>
            </w:r>
            <w:r>
              <w:rPr>
                <w:rFonts w:hint="eastAsia"/>
                <w:lang w:val="en-US" w:eastAsia="zh-CN"/>
              </w:rPr>
              <w:t xml:space="preserve"> 总经理，出席：管理者代表、各部门负责人。</w:t>
            </w:r>
          </w:p>
          <w:p>
            <w:pPr>
              <w:ind w:firstLine="420" w:firstLineChars="200"/>
              <w:rPr>
                <w:rFonts w:hint="eastAsia"/>
                <w:lang w:val="en-US" w:eastAsia="zh-CN"/>
              </w:rPr>
            </w:pPr>
            <w:r>
              <w:rPr>
                <w:rFonts w:hint="eastAsia"/>
                <w:lang w:val="en-US" w:eastAsia="zh-CN"/>
              </w:rPr>
              <w:t>评审内容：</w:t>
            </w:r>
          </w:p>
          <w:p>
            <w:pPr>
              <w:ind w:firstLine="420" w:firstLineChars="200"/>
              <w:rPr>
                <w:rFonts w:hint="eastAsia"/>
                <w:lang w:val="en-US" w:eastAsia="zh-CN"/>
              </w:rPr>
            </w:pPr>
            <w:r>
              <w:rPr>
                <w:rFonts w:hint="eastAsia"/>
                <w:lang w:val="en-US" w:eastAsia="zh-CN"/>
              </w:rPr>
              <w:t>1）与能源管理体系相关的内、外部因素以及相关的风险和机遇的变化；</w:t>
            </w:r>
          </w:p>
          <w:p>
            <w:pPr>
              <w:ind w:firstLine="420" w:firstLineChars="200"/>
              <w:rPr>
                <w:rFonts w:hint="eastAsia"/>
                <w:lang w:val="en-US" w:eastAsia="zh-CN"/>
              </w:rPr>
            </w:pPr>
            <w:r>
              <w:rPr>
                <w:rFonts w:hint="eastAsia"/>
                <w:lang w:val="en-US" w:eastAsia="zh-CN"/>
              </w:rPr>
              <w:t>2）有关能源管理体系绩效方面的信息，包括其趋势：不符合和纠正措施；监视和测量结果；审核结果；法律法规和其他要求的符合性评价结果。</w:t>
            </w:r>
          </w:p>
          <w:p>
            <w:pPr>
              <w:ind w:firstLine="420" w:firstLineChars="200"/>
              <w:rPr>
                <w:rFonts w:hint="eastAsia"/>
                <w:lang w:val="en-US" w:eastAsia="zh-CN"/>
              </w:rPr>
            </w:pPr>
            <w:r>
              <w:rPr>
                <w:rFonts w:hint="eastAsia"/>
                <w:lang w:val="en-US" w:eastAsia="zh-CN"/>
              </w:rPr>
              <w:t>3）持续改进的机会，包括人员能力；</w:t>
            </w:r>
          </w:p>
          <w:p>
            <w:pPr>
              <w:ind w:firstLine="420" w:firstLineChars="200"/>
              <w:rPr>
                <w:rFonts w:hint="eastAsia"/>
                <w:lang w:val="en-US" w:eastAsia="zh-CN"/>
              </w:rPr>
            </w:pPr>
            <w:r>
              <w:rPr>
                <w:rFonts w:hint="eastAsia"/>
                <w:lang w:val="en-US" w:eastAsia="zh-CN"/>
              </w:rPr>
              <w:t>4）能源方针；</w:t>
            </w:r>
          </w:p>
          <w:p>
            <w:pPr>
              <w:ind w:firstLine="420" w:firstLineChars="200"/>
              <w:rPr>
                <w:rFonts w:hint="default"/>
                <w:lang w:val="en-US" w:eastAsia="zh-CN"/>
              </w:rPr>
            </w:pPr>
            <w:r>
              <w:rPr>
                <w:rFonts w:hint="eastAsia"/>
                <w:lang w:val="en-US" w:eastAsia="zh-CN"/>
              </w:rPr>
              <w:t>5）能源绩效有关的信息，应包括：目标和能源指标的实现程度；基于监视和测量结果（包括能源绩效参数）的能源绩效和能源绩效改进；措施计划的状况等等</w:t>
            </w:r>
          </w:p>
          <w:p>
            <w:pPr>
              <w:pStyle w:val="16"/>
              <w:rPr>
                <w:rFonts w:hint="default"/>
                <w:lang w:val="en-US" w:eastAsia="zh-CN"/>
              </w:rPr>
            </w:pPr>
            <w:r>
              <w:rPr>
                <w:rFonts w:hint="eastAsia"/>
                <w:lang w:val="en-US" w:eastAsia="zh-CN"/>
              </w:rPr>
              <w:t xml:space="preserve">   各管理部门以及管理者代表均有输入材料。符合标准要求。</w:t>
            </w:r>
          </w:p>
          <w:p>
            <w:pPr>
              <w:ind w:firstLine="420" w:firstLineChars="200"/>
              <w:rPr>
                <w:rFonts w:hint="eastAsia"/>
                <w:lang w:val="en-US" w:eastAsia="zh-CN"/>
              </w:rPr>
            </w:pPr>
            <w:r>
              <w:rPr>
                <w:rFonts w:hint="eastAsia"/>
                <w:lang w:val="en-US" w:eastAsia="zh-CN"/>
              </w:rPr>
              <w:t xml:space="preserve">4、管理评审输出，形成《管理评审报告》编审批齐全 。   </w:t>
            </w:r>
          </w:p>
          <w:p>
            <w:pPr>
              <w:ind w:firstLine="420" w:firstLineChars="200"/>
              <w:rPr>
                <w:rFonts w:hint="eastAsia"/>
                <w:lang w:val="en-US" w:eastAsia="zh-CN"/>
              </w:rPr>
            </w:pPr>
            <w:r>
              <w:rPr>
                <w:rFonts w:hint="eastAsia"/>
                <w:lang w:val="en-US" w:eastAsia="zh-CN"/>
              </w:rPr>
              <w:t>管理评审结论：公司能源管理体系整体来看保持了持续的适宜性、充分性和有效性。</w:t>
            </w:r>
          </w:p>
          <w:p>
            <w:pPr>
              <w:ind w:firstLine="420" w:firstLineChars="200"/>
              <w:rPr>
                <w:rFonts w:hint="eastAsia"/>
                <w:lang w:val="en-US" w:eastAsia="zh-CN"/>
              </w:rPr>
            </w:pPr>
            <w:r>
              <w:rPr>
                <w:rFonts w:hint="eastAsia"/>
                <w:lang w:val="en-US" w:eastAsia="zh-CN"/>
              </w:rPr>
              <w:t>综上所述，公司建立的能源管理体系是充分、适宜和有效。</w:t>
            </w:r>
          </w:p>
          <w:p>
            <w:pPr>
              <w:pStyle w:val="2"/>
              <w:rPr>
                <w:rFonts w:hint="eastAsia"/>
                <w:lang w:val="en-US" w:eastAsia="zh-CN"/>
              </w:rPr>
            </w:pP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持续改进</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 xml:space="preserve">10.2 </w:t>
            </w:r>
          </w:p>
        </w:tc>
        <w:tc>
          <w:tcPr>
            <w:tcW w:w="10376" w:type="dxa"/>
            <w:vAlign w:val="top"/>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公司通过日常管理与检查、内审、管理评审等过程的控制实现持续改进。符合标准要求。</w:t>
            </w:r>
          </w:p>
          <w:p>
            <w:pPr>
              <w:spacing w:line="240" w:lineRule="auto"/>
              <w:ind w:firstLine="400" w:firstLineChars="200"/>
              <w:rPr>
                <w:rFonts w:hint="default"/>
                <w:color w:val="000000" w:themeColor="text1"/>
                <w:sz w:val="21"/>
                <w:szCs w:val="21"/>
                <w:lang w:val="en-US" w:eastAsia="zh-CN"/>
              </w:rPr>
            </w:pPr>
            <w:r>
              <w:rPr>
                <w:rFonts w:hint="eastAsia"/>
                <w:color w:val="000000" w:themeColor="text1"/>
                <w:sz w:val="20"/>
                <w:lang w:val="en-US" w:eastAsia="zh-CN"/>
              </w:rPr>
              <w:t>提供公司能源管理评</w:t>
            </w:r>
            <w:r>
              <w:rPr>
                <w:rFonts w:hint="eastAsia"/>
                <w:color w:val="000000" w:themeColor="text1"/>
                <w:sz w:val="21"/>
                <w:szCs w:val="21"/>
                <w:lang w:val="en-US" w:eastAsia="zh-CN"/>
              </w:rPr>
              <w:t>审报告：</w:t>
            </w:r>
          </w:p>
          <w:p>
            <w:pPr>
              <w:spacing w:line="240" w:lineRule="auto"/>
              <w:ind w:firstLine="420" w:firstLineChars="200"/>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提出改进建议方面：</w:t>
            </w:r>
          </w:p>
          <w:p>
            <w:pPr>
              <w:kinsoku w:val="0"/>
              <w:overflowPunct w:val="0"/>
              <w:autoSpaceDE w:val="0"/>
              <w:autoSpaceDN w:val="0"/>
              <w:adjustRightInd w:val="0"/>
              <w:snapToGrid w:val="0"/>
              <w:spacing w:line="400" w:lineRule="exact"/>
              <w:ind w:firstLine="432"/>
              <w:jc w:val="left"/>
              <w:rPr>
                <w:rFonts w:hint="eastAsia"/>
                <w:color w:val="000000" w:themeColor="text1"/>
                <w:sz w:val="21"/>
                <w:szCs w:val="21"/>
                <w:lang w:val="en-US" w:eastAsia="zh-CN"/>
              </w:rPr>
            </w:pPr>
            <w:r>
              <w:rPr>
                <w:rFonts w:hint="eastAsia" w:ascii="宋体" w:hAnsi="宋体"/>
                <w:szCs w:val="21"/>
              </w:rPr>
              <w:t>根据</w:t>
            </w:r>
            <w:r>
              <w:rPr>
                <w:rFonts w:ascii="宋体" w:hAnsi="宋体"/>
                <w:szCs w:val="21"/>
              </w:rPr>
              <w:t>本次</w:t>
            </w:r>
            <w:r>
              <w:rPr>
                <w:rFonts w:hint="eastAsia" w:ascii="宋体" w:hAnsi="宋体"/>
                <w:szCs w:val="21"/>
              </w:rPr>
              <w:t>能源</w:t>
            </w:r>
            <w:r>
              <w:rPr>
                <w:rFonts w:ascii="宋体" w:hAnsi="宋体"/>
                <w:szCs w:val="21"/>
              </w:rPr>
              <w:t>评价的结果，</w:t>
            </w:r>
            <w:r>
              <w:rPr>
                <w:rFonts w:hint="eastAsia" w:ascii="宋体" w:hAnsi="宋体"/>
                <w:szCs w:val="21"/>
              </w:rPr>
              <w:t>公司</w:t>
            </w:r>
            <w:r>
              <w:rPr>
                <w:rFonts w:ascii="宋体" w:hAnsi="宋体"/>
                <w:szCs w:val="21"/>
              </w:rPr>
              <w:t>应</w:t>
            </w:r>
            <w:r>
              <w:rPr>
                <w:rFonts w:hint="eastAsia" w:ascii="宋体" w:hAnsi="宋体"/>
                <w:szCs w:val="21"/>
              </w:rPr>
              <w:t>进一步落实各项节能工作，</w:t>
            </w:r>
            <w:r>
              <w:rPr>
                <w:rFonts w:ascii="宋体" w:hAnsi="宋体"/>
                <w:szCs w:val="21"/>
              </w:rPr>
              <w:t>确保能源管理体系</w:t>
            </w:r>
            <w:r>
              <w:rPr>
                <w:rFonts w:hint="eastAsia" w:ascii="宋体" w:hAnsi="宋体"/>
                <w:szCs w:val="21"/>
              </w:rPr>
              <w:t>的</w:t>
            </w:r>
            <w:r>
              <w:rPr>
                <w:rFonts w:ascii="宋体" w:hAnsi="宋体"/>
                <w:szCs w:val="21"/>
              </w:rPr>
              <w:t>有效运行。加强节能日常管理</w:t>
            </w:r>
            <w:r>
              <w:rPr>
                <w:rFonts w:hint="eastAsia" w:ascii="宋体" w:hAnsi="宋体"/>
                <w:szCs w:val="21"/>
              </w:rPr>
              <w:t>，</w:t>
            </w:r>
            <w:r>
              <w:rPr>
                <w:rFonts w:ascii="宋体" w:hAnsi="宋体"/>
                <w:szCs w:val="21"/>
              </w:rPr>
              <w:t>持续深化推进现场</w:t>
            </w:r>
            <w:r>
              <w:rPr>
                <w:rFonts w:hint="eastAsia" w:ascii="宋体" w:hAnsi="宋体"/>
                <w:szCs w:val="21"/>
              </w:rPr>
              <w:t>节能</w:t>
            </w:r>
            <w:r>
              <w:rPr>
                <w:rFonts w:ascii="宋体" w:hAnsi="宋体"/>
                <w:szCs w:val="21"/>
              </w:rPr>
              <w:t>督查、完善重点</w:t>
            </w:r>
            <w:r>
              <w:rPr>
                <w:rFonts w:hint="eastAsia" w:ascii="宋体" w:hAnsi="宋体"/>
                <w:szCs w:val="21"/>
              </w:rPr>
              <w:t>用能</w:t>
            </w:r>
            <w:r>
              <w:rPr>
                <w:rFonts w:ascii="宋体" w:hAnsi="宋体"/>
                <w:szCs w:val="21"/>
              </w:rPr>
              <w:t>设备定期</w:t>
            </w:r>
            <w:r>
              <w:rPr>
                <w:rFonts w:hint="eastAsia" w:ascii="宋体" w:hAnsi="宋体"/>
                <w:szCs w:val="21"/>
              </w:rPr>
              <w:t>监测、完善</w:t>
            </w:r>
            <w:r>
              <w:rPr>
                <w:rFonts w:ascii="宋体" w:hAnsi="宋体"/>
                <w:szCs w:val="21"/>
              </w:rPr>
              <w:t>各</w:t>
            </w:r>
            <w:r>
              <w:rPr>
                <w:rFonts w:hint="eastAsia" w:ascii="宋体" w:hAnsi="宋体"/>
                <w:szCs w:val="21"/>
              </w:rPr>
              <w:t>能源</w:t>
            </w:r>
            <w:r>
              <w:rPr>
                <w:rFonts w:ascii="宋体" w:hAnsi="宋体"/>
                <w:szCs w:val="21"/>
              </w:rPr>
              <w:t>计量仪表、</w:t>
            </w:r>
            <w:r>
              <w:rPr>
                <w:rFonts w:hint="eastAsia" w:ascii="宋体" w:hAnsi="宋体"/>
                <w:szCs w:val="21"/>
              </w:rPr>
              <w:t>持续</w:t>
            </w:r>
            <w:r>
              <w:rPr>
                <w:rFonts w:ascii="宋体" w:hAnsi="宋体"/>
                <w:szCs w:val="21"/>
              </w:rPr>
              <w:t>优化装置节能并逐步</w:t>
            </w:r>
            <w:r>
              <w:rPr>
                <w:rFonts w:hint="eastAsia" w:ascii="宋体" w:hAnsi="宋体"/>
                <w:szCs w:val="21"/>
              </w:rPr>
              <w:t>开展</w:t>
            </w:r>
            <w:r>
              <w:rPr>
                <w:rFonts w:ascii="宋体" w:hAnsi="宋体"/>
                <w:szCs w:val="21"/>
              </w:rPr>
              <w:t>完善系统优化节能工作、</w:t>
            </w:r>
            <w:r>
              <w:rPr>
                <w:rFonts w:hint="eastAsia" w:ascii="宋体" w:hAnsi="宋体"/>
                <w:szCs w:val="21"/>
              </w:rPr>
              <w:t>加大</w:t>
            </w:r>
            <w:r>
              <w:rPr>
                <w:rFonts w:ascii="宋体" w:hAnsi="宋体"/>
                <w:szCs w:val="21"/>
              </w:rPr>
              <w:t>节能技术投入</w:t>
            </w:r>
            <w:r>
              <w:rPr>
                <w:rFonts w:hint="eastAsia" w:ascii="宋体" w:hAnsi="宋体"/>
                <w:szCs w:val="21"/>
              </w:rPr>
              <w:t>等</w:t>
            </w:r>
            <w:r>
              <w:rPr>
                <w:rFonts w:ascii="宋体" w:hAnsi="宋体"/>
                <w:szCs w:val="21"/>
              </w:rPr>
              <w:t>工作</w:t>
            </w:r>
            <w:r>
              <w:rPr>
                <w:rFonts w:hint="eastAsia" w:ascii="宋体" w:hAnsi="宋体"/>
                <w:szCs w:val="21"/>
              </w:rPr>
              <w:t>，</w:t>
            </w:r>
            <w:r>
              <w:rPr>
                <w:rFonts w:ascii="宋体" w:hAnsi="宋体"/>
                <w:szCs w:val="21"/>
              </w:rPr>
              <w:t>确保分公司用能水平进一步降低</w:t>
            </w:r>
            <w:r>
              <w:rPr>
                <w:rFonts w:hint="eastAsia" w:ascii="宋体" w:hAnsi="宋体" w:eastAsia="宋体" w:cs="Times New Roman"/>
                <w:sz w:val="21"/>
                <w:szCs w:val="21"/>
                <w:lang w:val="en-US" w:eastAsia="zh-CN"/>
              </w:rPr>
              <w:t>。</w:t>
            </w:r>
          </w:p>
          <w:p>
            <w:pPr>
              <w:pStyle w:val="16"/>
              <w:spacing w:line="240" w:lineRule="auto"/>
              <w:ind w:firstLine="420" w:firstLineChars="200"/>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cs="Times New Roman"/>
                <w:bCs w:val="0"/>
                <w:color w:val="000000" w:themeColor="text1"/>
                <w:spacing w:val="0"/>
                <w:kern w:val="2"/>
                <w:sz w:val="21"/>
                <w:szCs w:val="21"/>
                <w:lang w:val="en-US" w:eastAsia="zh-CN" w:bidi="ar-SA"/>
              </w:rPr>
              <w:t>基本符合公司实际情况</w:t>
            </w:r>
            <w:r>
              <w:rPr>
                <w:rFonts w:hint="eastAsia" w:ascii="Times New Roman" w:hAnsi="Times New Roman" w:eastAsia="宋体" w:cs="Times New Roman"/>
                <w:bCs w:val="0"/>
                <w:color w:val="000000" w:themeColor="text1"/>
                <w:spacing w:val="0"/>
                <w:kern w:val="2"/>
                <w:sz w:val="21"/>
                <w:szCs w:val="21"/>
                <w:lang w:val="en-US" w:eastAsia="zh-CN" w:bidi="ar-SA"/>
              </w:rPr>
              <w:t>。</w:t>
            </w:r>
          </w:p>
          <w:p>
            <w:pPr>
              <w:pStyle w:val="16"/>
              <w:spacing w:line="240" w:lineRule="auto"/>
              <w:ind w:firstLine="420" w:firstLineChars="200"/>
              <w:rPr>
                <w:rFonts w:hint="default" w:ascii="Times New Roman" w:hAnsi="Times New Roman" w:eastAsia="宋体" w:cs="Times New Roman"/>
                <w:bCs w:val="0"/>
                <w:color w:val="000000" w:themeColor="text1"/>
                <w:spacing w:val="0"/>
                <w:kern w:val="2"/>
                <w:sz w:val="21"/>
                <w:szCs w:val="21"/>
                <w:lang w:val="en-US" w:eastAsia="zh-CN" w:bidi="ar-SA"/>
              </w:rPr>
            </w:pP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对一阶段问题整改情况的确认</w:t>
            </w:r>
          </w:p>
        </w:tc>
        <w:tc>
          <w:tcPr>
            <w:tcW w:w="9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p>
        </w:tc>
        <w:tc>
          <w:tcPr>
            <w:tcW w:w="10376" w:type="dxa"/>
            <w:vAlign w:val="top"/>
          </w:tcPr>
          <w:p>
            <w:pPr>
              <w:rPr>
                <w:rFonts w:hint="eastAsia" w:cs="Times New Roman" w:asciiTheme="minorEastAsia" w:hAnsiTheme="minorEastAsia" w:eastAsiaTheme="minorEastAsia"/>
                <w:b/>
                <w:bCs/>
                <w:color w:val="000000" w:themeColor="text1"/>
                <w:kern w:val="2"/>
                <w:sz w:val="21"/>
                <w:szCs w:val="21"/>
                <w:lang w:val="en-US" w:eastAsia="zh-CN" w:bidi="ar-SA"/>
              </w:rPr>
            </w:pPr>
            <w:r>
              <w:rPr>
                <w:rFonts w:hint="eastAsia" w:asciiTheme="minorEastAsia" w:hAnsiTheme="minorEastAsia" w:eastAsiaTheme="minorEastAsia"/>
                <w:color w:val="000000" w:themeColor="text1"/>
                <w:szCs w:val="21"/>
                <w:highlight w:val="none"/>
              </w:rPr>
              <w:t>一阶段问题：</w:t>
            </w:r>
            <w:r>
              <w:rPr>
                <w:rFonts w:hint="eastAsia"/>
                <w:color w:val="auto"/>
                <w:highlight w:val="none"/>
                <w:lang w:val="en-US" w:eastAsia="zh-CN"/>
              </w:rPr>
              <w:t>未提出问题</w:t>
            </w:r>
            <w:r>
              <w:rPr>
                <w:rFonts w:hint="eastAsia" w:asciiTheme="minorEastAsia" w:hAnsiTheme="minorEastAsia" w:eastAsiaTheme="minorEastAsia"/>
                <w:color w:val="000000" w:themeColor="text1"/>
                <w:szCs w:val="21"/>
                <w:highlight w:val="none"/>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bl>
    <w:p>
      <w:pPr>
        <w:pStyle w:val="8"/>
        <w:rPr>
          <w:rFonts w:hint="eastAsia"/>
          <w:color w:val="000000" w:themeColor="text1"/>
        </w:rPr>
      </w:pPr>
      <w:r>
        <w:rPr>
          <w:rFonts w:hint="eastAsia"/>
          <w:color w:val="000000" w:themeColor="text1"/>
        </w:rPr>
        <w:t>说明：不符合标注N</w:t>
      </w:r>
    </w:p>
    <w:p>
      <w:pPr>
        <w:spacing w:line="480" w:lineRule="exact"/>
        <w:jc w:val="both"/>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过程与活动、</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抽样计划</w:t>
            </w:r>
          </w:p>
        </w:tc>
        <w:tc>
          <w:tcPr>
            <w:tcW w:w="9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涉及</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条款</w:t>
            </w:r>
          </w:p>
        </w:tc>
        <w:tc>
          <w:tcPr>
            <w:tcW w:w="10376" w:type="dxa"/>
            <w:vAlign w:val="center"/>
          </w:tcPr>
          <w:p>
            <w:pPr>
              <w:numPr>
                <w:ilvl w:val="0"/>
                <w:numId w:val="0"/>
              </w:numPr>
              <w:jc w:val="both"/>
              <w:rPr>
                <w:rFonts w:hint="default"/>
                <w:color w:val="000000" w:themeColor="text1"/>
                <w:szCs w:val="22"/>
                <w:lang w:val="en-US" w:eastAsia="zh-CN"/>
              </w:rPr>
            </w:pPr>
            <w:r>
              <w:rPr>
                <w:rFonts w:hint="eastAsia"/>
                <w:color w:val="000000" w:themeColor="text1"/>
                <w:szCs w:val="22"/>
                <w:lang w:val="en-US" w:eastAsia="zh-CN"/>
              </w:rPr>
              <w:t xml:space="preserve">受审核部门：人力资源部   主管领导：苗加星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 xml:space="preserve">陪同人员： </w:t>
            </w:r>
            <w:r>
              <w:rPr>
                <w:rFonts w:hint="eastAsia"/>
                <w:color w:val="000000" w:themeColor="text1"/>
                <w:szCs w:val="21"/>
                <w:lang w:val="en-US" w:eastAsia="zh-CN"/>
              </w:rPr>
              <w:t>张泽宇</w:t>
            </w:r>
          </w:p>
        </w:tc>
        <w:tc>
          <w:tcPr>
            <w:tcW w:w="1213"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vMerge w:val="continue"/>
            <w:vAlign w:val="center"/>
          </w:tcPr>
          <w:p>
            <w:pPr>
              <w:numPr>
                <w:ilvl w:val="0"/>
                <w:numId w:val="0"/>
              </w:numPr>
              <w:jc w:val="center"/>
              <w:rPr>
                <w:rFonts w:hint="eastAsia"/>
                <w:color w:val="000000" w:themeColor="text1"/>
                <w:szCs w:val="22"/>
                <w:lang w:val="en-US" w:eastAsia="zh-CN"/>
              </w:rPr>
            </w:pPr>
          </w:p>
        </w:tc>
        <w:tc>
          <w:tcPr>
            <w:tcW w:w="960" w:type="dxa"/>
            <w:vMerge w:val="continue"/>
            <w:vAlign w:val="center"/>
          </w:tcPr>
          <w:p>
            <w:pPr>
              <w:numPr>
                <w:ilvl w:val="0"/>
                <w:numId w:val="0"/>
              </w:numPr>
              <w:jc w:val="center"/>
              <w:rPr>
                <w:rFonts w:hint="eastAsia"/>
                <w:color w:val="000000" w:themeColor="text1"/>
                <w:szCs w:val="22"/>
                <w:lang w:val="en-US" w:eastAsia="zh-CN"/>
              </w:rPr>
            </w:pPr>
          </w:p>
        </w:tc>
        <w:tc>
          <w:tcPr>
            <w:tcW w:w="10376" w:type="dxa"/>
            <w:vAlign w:val="center"/>
          </w:tcPr>
          <w:p>
            <w:pPr>
              <w:numPr>
                <w:ilvl w:val="0"/>
                <w:numId w:val="0"/>
              </w:numPr>
              <w:jc w:val="both"/>
              <w:rPr>
                <w:rFonts w:hint="eastAsia"/>
                <w:color w:val="000000"/>
                <w:sz w:val="21"/>
                <w:szCs w:val="21"/>
                <w:lang w:val="en-US" w:eastAsia="zh-CN"/>
              </w:rPr>
            </w:pPr>
            <w:r>
              <w:rPr>
                <w:rFonts w:hint="eastAsia"/>
                <w:color w:val="000000" w:themeColor="text1"/>
                <w:szCs w:val="22"/>
                <w:lang w:val="en-US" w:eastAsia="zh-CN"/>
              </w:rPr>
              <w:t xml:space="preserve">审核员：范玲玲（远程）     </w:t>
            </w:r>
            <w:r>
              <w:rPr>
                <w:rFonts w:hint="eastAsia"/>
                <w:color w:val="000000"/>
                <w:sz w:val="21"/>
                <w:szCs w:val="21"/>
                <w:lang w:val="en-US" w:eastAsia="zh-CN"/>
              </w:rPr>
              <w:t>远程审核采用微信、文件传输、电话、腾讯会议等工具实施审核。</w:t>
            </w:r>
          </w:p>
          <w:p>
            <w:pPr>
              <w:numPr>
                <w:ilvl w:val="0"/>
                <w:numId w:val="0"/>
              </w:numPr>
              <w:jc w:val="both"/>
              <w:rPr>
                <w:rFonts w:hint="eastAsia"/>
                <w:color w:val="000000" w:themeColor="text1"/>
                <w:szCs w:val="22"/>
                <w:lang w:val="en-US" w:eastAsia="zh-CN"/>
              </w:rPr>
            </w:pPr>
            <w:r>
              <w:rPr>
                <w:rFonts w:hint="eastAsia"/>
                <w:color w:val="000000" w:themeColor="text1"/>
                <w:szCs w:val="22"/>
                <w:lang w:val="en-US" w:eastAsia="zh-CN"/>
              </w:rPr>
              <w:t>审核时间：2022年9月19日</w:t>
            </w:r>
          </w:p>
        </w:tc>
        <w:tc>
          <w:tcPr>
            <w:tcW w:w="1213" w:type="dxa"/>
            <w:vMerge w:val="continue"/>
          </w:tcPr>
          <w:p>
            <w:pPr>
              <w:numPr>
                <w:ilvl w:val="0"/>
                <w:numId w:val="0"/>
              </w:numPr>
              <w:jc w:val="center"/>
              <w:rPr>
                <w:rFonts w:hint="eastAsia"/>
                <w:color w:val="000000" w:themeColor="text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Merge w:val="continue"/>
            <w:vAlign w:val="center"/>
          </w:tcPr>
          <w:p>
            <w:pPr>
              <w:numPr>
                <w:ilvl w:val="0"/>
                <w:numId w:val="0"/>
              </w:numPr>
              <w:rPr>
                <w:rFonts w:hint="eastAsia"/>
                <w:color w:val="000000" w:themeColor="text1"/>
                <w:szCs w:val="22"/>
                <w:lang w:val="en-US" w:eastAsia="zh-CN"/>
              </w:rPr>
            </w:pPr>
          </w:p>
        </w:tc>
        <w:tc>
          <w:tcPr>
            <w:tcW w:w="960" w:type="dxa"/>
            <w:vMerge w:val="continue"/>
            <w:vAlign w:val="center"/>
          </w:tcPr>
          <w:p>
            <w:pPr>
              <w:numPr>
                <w:ilvl w:val="0"/>
                <w:numId w:val="0"/>
              </w:numPr>
              <w:rPr>
                <w:rFonts w:hint="eastAsia"/>
                <w:color w:val="000000" w:themeColor="text1"/>
                <w:szCs w:val="22"/>
                <w:lang w:val="en-US" w:eastAsia="zh-CN"/>
              </w:rPr>
            </w:pPr>
          </w:p>
        </w:tc>
        <w:tc>
          <w:tcPr>
            <w:tcW w:w="10376" w:type="dxa"/>
            <w:vAlign w:val="center"/>
          </w:tcPr>
          <w:p>
            <w:pPr>
              <w:numPr>
                <w:ilvl w:val="0"/>
                <w:numId w:val="0"/>
              </w:numPr>
              <w:rPr>
                <w:rFonts w:hint="default"/>
                <w:color w:val="000000" w:themeColor="text1"/>
                <w:szCs w:val="22"/>
                <w:lang w:val="en-US" w:eastAsia="zh-CN"/>
              </w:rPr>
            </w:pPr>
            <w:r>
              <w:rPr>
                <w:rFonts w:hint="eastAsia"/>
                <w:color w:val="000000" w:themeColor="text1"/>
                <w:szCs w:val="22"/>
                <w:lang w:val="en-US" w:eastAsia="zh-CN"/>
              </w:rPr>
              <w:t>审核条款：5.3 部门职责权限、6.2目标指标、7.2人员能力、7.3意识、7.4信息交流、7.5文件管理控制、8.1</w:t>
            </w:r>
            <w:r>
              <w:rPr>
                <w:rFonts w:hint="eastAsia"/>
                <w:sz w:val="21"/>
                <w:szCs w:val="21"/>
                <w:lang w:val="en-US" w:eastAsia="zh-CN"/>
              </w:rPr>
              <w:t>运行控制、8.3能源采购、9.2内部审核、10.1不符合纠正及纠正措施</w:t>
            </w:r>
          </w:p>
          <w:p>
            <w:pPr>
              <w:pStyle w:val="16"/>
              <w:rPr>
                <w:rFonts w:hint="eastAsia"/>
                <w:color w:val="000000" w:themeColor="text1"/>
                <w:szCs w:val="22"/>
                <w:lang w:val="en-US" w:eastAsia="zh-CN"/>
              </w:rPr>
            </w:pPr>
            <w:r>
              <w:rPr>
                <w:rFonts w:hint="eastAsia" w:eastAsia="宋体"/>
                <w:color w:val="000000" w:themeColor="text1"/>
                <w:szCs w:val="22"/>
                <w:lang w:val="en-US" w:eastAsia="zh-CN"/>
              </w:rPr>
              <w:t>EnMS：5.3/6.2/7.2/7.3/7.4/7.5</w:t>
            </w:r>
            <w:r>
              <w:rPr>
                <w:rFonts w:hint="eastAsia"/>
                <w:color w:val="000000" w:themeColor="text1"/>
                <w:szCs w:val="22"/>
                <w:lang w:val="en-US" w:eastAsia="zh-CN"/>
              </w:rPr>
              <w:t>/</w:t>
            </w:r>
            <w:r>
              <w:rPr>
                <w:rFonts w:hint="eastAsia" w:ascii="Times New Roman" w:hAnsi="Times New Roman" w:eastAsia="宋体" w:cs="Times New Roman"/>
                <w:bCs w:val="0"/>
                <w:spacing w:val="0"/>
                <w:kern w:val="2"/>
                <w:sz w:val="21"/>
                <w:szCs w:val="21"/>
                <w:lang w:val="en-US" w:eastAsia="zh-CN" w:bidi="ar-SA"/>
              </w:rPr>
              <w:t>8.1/8.3/9.2/10.1</w:t>
            </w:r>
            <w:r>
              <w:rPr>
                <w:rFonts w:hint="eastAsia" w:eastAsia="宋体"/>
                <w:color w:val="000000" w:themeColor="text1"/>
                <w:szCs w:val="22"/>
                <w:lang w:val="en-US" w:eastAsia="zh-CN"/>
              </w:rPr>
              <w:t xml:space="preserve">。  </w:t>
            </w:r>
            <w:r>
              <w:rPr>
                <w:rFonts w:hint="eastAsia"/>
                <w:color w:val="000000" w:themeColor="text1"/>
                <w:szCs w:val="22"/>
                <w:lang w:val="en-US" w:eastAsia="zh-CN"/>
              </w:rPr>
              <w:t xml:space="preserve"> </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000000" w:themeColor="text1"/>
              </w:rPr>
            </w:pPr>
            <w:r>
              <w:rPr>
                <w:rFonts w:hint="eastAsia"/>
                <w:color w:val="000000" w:themeColor="text1"/>
                <w:lang w:val="en-US" w:eastAsia="zh-CN"/>
              </w:rPr>
              <w:t>能源</w:t>
            </w:r>
            <w:r>
              <w:rPr>
                <w:rFonts w:hint="eastAsia"/>
                <w:color w:val="000000" w:themeColor="text1"/>
              </w:rPr>
              <w:t>职责、</w:t>
            </w:r>
            <w:r>
              <w:rPr>
                <w:rFonts w:hint="eastAsia"/>
                <w:color w:val="000000" w:themeColor="text1"/>
                <w:lang w:val="en-US" w:eastAsia="zh-CN"/>
              </w:rPr>
              <w:t>能源</w:t>
            </w:r>
            <w:r>
              <w:rPr>
                <w:rFonts w:hint="eastAsia"/>
                <w:color w:val="000000" w:themeColor="text1"/>
              </w:rPr>
              <w:t>管理目标及实现措施策划适宜性，履行职责和目标</w:t>
            </w:r>
            <w:r>
              <w:rPr>
                <w:rFonts w:hint="eastAsia"/>
                <w:color w:val="000000" w:themeColor="text1"/>
                <w:lang w:val="en-US" w:eastAsia="zh-CN"/>
              </w:rPr>
              <w:t>方案</w:t>
            </w:r>
            <w:r>
              <w:rPr>
                <w:rFonts w:hint="eastAsia"/>
                <w:color w:val="000000" w:themeColor="text1"/>
              </w:rPr>
              <w:t>实现情况；</w:t>
            </w:r>
          </w:p>
        </w:tc>
        <w:tc>
          <w:tcPr>
            <w:tcW w:w="960" w:type="dxa"/>
          </w:tcPr>
          <w:p>
            <w:pPr>
              <w:rPr>
                <w:rFonts w:hint="eastAsia"/>
                <w:color w:val="000000" w:themeColor="text1"/>
              </w:rPr>
            </w:pPr>
            <w:r>
              <w:rPr>
                <w:rFonts w:hint="eastAsia"/>
                <w:color w:val="000000" w:themeColor="text1"/>
              </w:rPr>
              <w:t>5.3</w:t>
            </w:r>
            <w:r>
              <w:rPr>
                <w:rFonts w:hint="eastAsia"/>
                <w:color w:val="000000" w:themeColor="text1"/>
                <w:lang w:val="en-US" w:eastAsia="zh-CN"/>
              </w:rPr>
              <w:t>/</w:t>
            </w:r>
            <w:r>
              <w:rPr>
                <w:rFonts w:hint="eastAsia"/>
                <w:color w:val="000000" w:themeColor="text1"/>
              </w:rPr>
              <w:t>6.2</w:t>
            </w:r>
          </w:p>
          <w:p>
            <w:pPr>
              <w:pStyle w:val="10"/>
              <w:rPr>
                <w:color w:val="000000" w:themeColor="text1"/>
              </w:rPr>
            </w:pPr>
          </w:p>
        </w:tc>
        <w:tc>
          <w:tcPr>
            <w:tcW w:w="10376" w:type="dxa"/>
          </w:tcPr>
          <w:p>
            <w:pPr>
              <w:pStyle w:val="10"/>
              <w:numPr>
                <w:ilvl w:val="0"/>
                <w:numId w:val="0"/>
              </w:numPr>
              <w:ind w:leftChars="0" w:firstLine="420" w:firstLineChars="200"/>
              <w:rPr>
                <w:rFonts w:hint="eastAsia"/>
                <w:color w:val="000000" w:themeColor="text1"/>
                <w:lang w:val="en-US" w:eastAsia="zh-CN"/>
              </w:rPr>
            </w:pPr>
            <w:r>
              <w:rPr>
                <w:rFonts w:hint="eastAsia"/>
                <w:color w:val="000000" w:themeColor="text1"/>
                <w:lang w:val="en-US" w:eastAsia="zh-CN"/>
              </w:rPr>
              <w:t>提供《</w:t>
            </w:r>
            <w:r>
              <w:rPr>
                <w:rFonts w:hint="eastAsia"/>
                <w:sz w:val="21"/>
                <w:szCs w:val="21"/>
                <w:lang w:val="en-US" w:eastAsia="zh-CN"/>
              </w:rPr>
              <w:t>NYJS/NY CX-03-2022</w:t>
            </w:r>
            <w:r>
              <w:rPr>
                <w:rFonts w:hint="eastAsia"/>
                <w:color w:val="000000" w:themeColor="text1"/>
                <w:lang w:val="en-US" w:eastAsia="zh-CN"/>
              </w:rPr>
              <w:t>目标、指标的制定控制程序》，有编审批，符合标准要求。</w:t>
            </w:r>
            <w:r>
              <w:rPr>
                <w:rFonts w:hint="eastAsia"/>
                <w:color w:val="000000" w:themeColor="text1"/>
                <w:lang w:val="en-US" w:eastAsia="zh-CN"/>
              </w:rPr>
              <w:tab/>
            </w:r>
          </w:p>
          <w:p>
            <w:pPr>
              <w:numPr>
                <w:ilvl w:val="0"/>
                <w:numId w:val="3"/>
              </w:numPr>
              <w:ind w:firstLine="420" w:firstLineChars="200"/>
              <w:rPr>
                <w:rFonts w:hint="eastAsia"/>
                <w:color w:val="000000" w:themeColor="text1"/>
                <w:lang w:val="en-US" w:eastAsia="zh-CN"/>
              </w:rPr>
            </w:pPr>
            <w:r>
              <w:rPr>
                <w:rFonts w:hint="eastAsia"/>
                <w:color w:val="000000" w:themeColor="text1"/>
                <w:lang w:val="en-US" w:eastAsia="zh-CN"/>
              </w:rPr>
              <w:t>人力资源部 主管领导：</w:t>
            </w:r>
            <w:r>
              <w:rPr>
                <w:rFonts w:hint="eastAsia"/>
                <w:color w:val="000000" w:themeColor="text1"/>
                <w:szCs w:val="22"/>
                <w:lang w:val="en-US" w:eastAsia="zh-CN"/>
              </w:rPr>
              <w:t>苗加星</w:t>
            </w:r>
            <w:r>
              <w:rPr>
                <w:rFonts w:hint="eastAsia"/>
                <w:color w:val="000000" w:themeColor="text1"/>
                <w:lang w:val="en-US" w:eastAsia="zh-CN"/>
              </w:rPr>
              <w:t>，共3人。岗位设置：行政部经理、行政后勤、车队管理等。</w:t>
            </w:r>
          </w:p>
          <w:p>
            <w:pPr>
              <w:pStyle w:val="15"/>
              <w:numPr>
                <w:ilvl w:val="0"/>
                <w:numId w:val="0"/>
              </w:numPr>
              <w:rPr>
                <w:rFonts w:hint="default"/>
                <w:lang w:val="en-US" w:eastAsia="zh-CN"/>
              </w:rPr>
            </w:pPr>
            <w:r>
              <w:rPr>
                <w:rFonts w:hint="default"/>
                <w:lang w:val="en-US" w:eastAsia="zh-CN"/>
              </w:rPr>
              <w:drawing>
                <wp:inline distT="0" distB="0" distL="114300" distR="114300">
                  <wp:extent cx="1429385" cy="1654810"/>
                  <wp:effectExtent l="0" t="0" r="5715" b="8890"/>
                  <wp:docPr id="35" name="图片 35" descr="1663558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63558404(1)"/>
                          <pic:cNvPicPr>
                            <a:picLocks noChangeAspect="1"/>
                          </pic:cNvPicPr>
                        </pic:nvPicPr>
                        <pic:blipFill>
                          <a:blip r:embed="rId6"/>
                          <a:stretch>
                            <a:fillRect/>
                          </a:stretch>
                        </pic:blipFill>
                        <pic:spPr>
                          <a:xfrm>
                            <a:off x="0" y="0"/>
                            <a:ext cx="1429385" cy="165481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386205" cy="1664970"/>
                  <wp:effectExtent l="0" t="0" r="10795" b="11430"/>
                  <wp:docPr id="36" name="图片 36" descr="1663558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63558452(1)"/>
                          <pic:cNvPicPr>
                            <a:picLocks noChangeAspect="1"/>
                          </pic:cNvPicPr>
                        </pic:nvPicPr>
                        <pic:blipFill>
                          <a:blip r:embed="rId7"/>
                          <a:stretch>
                            <a:fillRect/>
                          </a:stretch>
                        </pic:blipFill>
                        <pic:spPr>
                          <a:xfrm>
                            <a:off x="0" y="0"/>
                            <a:ext cx="1386205" cy="166497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74470" cy="1716405"/>
                  <wp:effectExtent l="0" t="0" r="11430" b="10795"/>
                  <wp:docPr id="37" name="图片 37" descr="1663558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63558521(1)"/>
                          <pic:cNvPicPr>
                            <a:picLocks noChangeAspect="1"/>
                          </pic:cNvPicPr>
                        </pic:nvPicPr>
                        <pic:blipFill>
                          <a:blip r:embed="rId8"/>
                          <a:stretch>
                            <a:fillRect/>
                          </a:stretch>
                        </pic:blipFill>
                        <pic:spPr>
                          <a:xfrm>
                            <a:off x="0" y="0"/>
                            <a:ext cx="1474470" cy="1716405"/>
                          </a:xfrm>
                          <a:prstGeom prst="rect">
                            <a:avLst/>
                          </a:prstGeom>
                        </pic:spPr>
                      </pic:pic>
                    </a:graphicData>
                  </a:graphic>
                </wp:inline>
              </w:drawing>
            </w:r>
            <w:r>
              <w:rPr>
                <w:rFonts w:hint="default"/>
                <w:lang w:val="en-US" w:eastAsia="zh-CN"/>
              </w:rPr>
              <w:drawing>
                <wp:inline distT="0" distB="0" distL="114300" distR="114300">
                  <wp:extent cx="1472565" cy="1699895"/>
                  <wp:effectExtent l="0" t="0" r="635" b="1905"/>
                  <wp:docPr id="38" name="图片 38" descr="1663573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663573681(1)"/>
                          <pic:cNvPicPr>
                            <a:picLocks noChangeAspect="1"/>
                          </pic:cNvPicPr>
                        </pic:nvPicPr>
                        <pic:blipFill>
                          <a:blip r:embed="rId9"/>
                          <a:stretch>
                            <a:fillRect/>
                          </a:stretch>
                        </pic:blipFill>
                        <pic:spPr>
                          <a:xfrm>
                            <a:off x="0" y="0"/>
                            <a:ext cx="1472565" cy="1699895"/>
                          </a:xfrm>
                          <a:prstGeom prst="rect">
                            <a:avLst/>
                          </a:prstGeom>
                        </pic:spPr>
                      </pic:pic>
                    </a:graphicData>
                  </a:graphic>
                </wp:inline>
              </w:drawing>
            </w:r>
          </w:p>
          <w:p>
            <w:pPr>
              <w:numPr>
                <w:ilvl w:val="0"/>
                <w:numId w:val="0"/>
              </w:numPr>
              <w:spacing w:line="240" w:lineRule="auto"/>
              <w:ind w:firstLine="420" w:firstLineChars="200"/>
              <w:rPr>
                <w:rFonts w:hint="eastAsia"/>
                <w:color w:val="000000" w:themeColor="text1"/>
                <w:sz w:val="21"/>
                <w:szCs w:val="21"/>
                <w:lang w:val="en-US" w:eastAsia="zh-CN"/>
              </w:rPr>
            </w:pPr>
            <w:r>
              <w:rPr>
                <w:rFonts w:hint="eastAsia"/>
                <w:color w:val="000000" w:themeColor="text1"/>
                <w:lang w:val="en-US" w:eastAsia="zh-CN"/>
              </w:rPr>
              <w:t>人力资源</w:t>
            </w:r>
            <w:r>
              <w:rPr>
                <w:rFonts w:hint="eastAsia"/>
                <w:color w:val="000000" w:themeColor="text1"/>
                <w:sz w:val="21"/>
                <w:szCs w:val="21"/>
                <w:lang w:val="en-US" w:eastAsia="zh-CN"/>
              </w:rPr>
              <w:t>部主要职责：</w:t>
            </w:r>
            <w:r>
              <w:rPr>
                <w:rFonts w:hint="eastAsia" w:asciiTheme="minorEastAsia" w:hAnsiTheme="minorEastAsia" w:cstheme="minorEastAsia"/>
                <w:kern w:val="0"/>
                <w:sz w:val="21"/>
                <w:szCs w:val="21"/>
              </w:rPr>
              <w:t>负责能源方面人力资源的配置、劳动关系、薪酬、考勤的管理和监督</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bCs/>
                <w:sz w:val="21"/>
                <w:szCs w:val="21"/>
              </w:rPr>
              <w:t>公司节能教育学习，</w:t>
            </w:r>
            <w:r>
              <w:rPr>
                <w:rFonts w:hint="eastAsia" w:asciiTheme="minorEastAsia" w:hAnsiTheme="minorEastAsia" w:cstheme="minorEastAsia"/>
                <w:sz w:val="21"/>
                <w:szCs w:val="21"/>
              </w:rPr>
              <w:t>编制不同岗位的年度培训计划、方案并公司实施，建立并保存培训档案及培训记录，做好培训总结</w:t>
            </w:r>
            <w:r>
              <w:rPr>
                <w:rFonts w:hint="eastAsia" w:asciiTheme="minorEastAsia" w:hAnsiTheme="minorEastAsia" w:cstheme="minorEastAsia"/>
                <w:sz w:val="21"/>
                <w:szCs w:val="21"/>
                <w:lang w:eastAsia="zh-CN"/>
              </w:rPr>
              <w:t>；</w:t>
            </w:r>
            <w:r>
              <w:rPr>
                <w:rFonts w:hint="eastAsia" w:asciiTheme="minorEastAsia" w:hAnsiTheme="minorEastAsia" w:cstheme="minorEastAsia"/>
                <w:kern w:val="0"/>
                <w:sz w:val="21"/>
                <w:szCs w:val="21"/>
              </w:rPr>
              <w:t>汇总和制订年度员工能源管理技能培训计划，并</w:t>
            </w:r>
            <w:r>
              <w:rPr>
                <w:rFonts w:hint="eastAsia" w:asciiTheme="minorEastAsia" w:hAnsiTheme="minorEastAsia" w:cstheme="minorEastAsia"/>
                <w:kern w:val="0"/>
                <w:sz w:val="21"/>
                <w:szCs w:val="21"/>
                <w:lang w:val="en-US" w:eastAsia="zh-CN"/>
              </w:rPr>
              <w:t>组织</w:t>
            </w:r>
            <w:r>
              <w:rPr>
                <w:rFonts w:hint="eastAsia" w:asciiTheme="minorEastAsia" w:hAnsiTheme="minorEastAsia" w:cstheme="minorEastAsia"/>
                <w:kern w:val="0"/>
                <w:sz w:val="21"/>
                <w:szCs w:val="21"/>
              </w:rPr>
              <w:t>实施。负责对公司食堂、厕所及其他公共服务设施区域的节能管理，并制定相应的管理办法</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rPr>
              <w:t>负责对公司食堂、厕所及其他公共服务设施区域的节能管理，并制定相应的管理办法</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sz w:val="21"/>
                <w:szCs w:val="21"/>
              </w:rPr>
              <w:t>负责能源管理内外部信息的交流及外来文件的接收、传递、控制等工作</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rPr>
              <w:t>制定内审、评审计划方案，公司好能源管理体系管理评审，协助管理者代表就能源管理体系运行状况、改进措施和建议，确保体系的正常运行</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rPr>
              <w:t>能源管理体系的文件归口管理部门，负责公司编制管理手册及相关文件的发布等工作</w:t>
            </w:r>
            <w:r>
              <w:rPr>
                <w:rFonts w:hint="eastAsia"/>
                <w:color w:val="000000" w:themeColor="text1"/>
                <w:sz w:val="21"/>
                <w:szCs w:val="21"/>
                <w:lang w:val="en-US" w:eastAsia="zh-CN"/>
              </w:rPr>
              <w:t>。</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经过微信沟通负责人清楚部门职责，经查符合要求。</w:t>
            </w:r>
          </w:p>
          <w:p>
            <w:pPr>
              <w:numPr>
                <w:ilvl w:val="0"/>
                <w:numId w:val="4"/>
              </w:numPr>
              <w:rPr>
                <w:rFonts w:hint="eastAsia" w:cs="Times New Roman"/>
                <w:color w:val="000000" w:themeColor="text1"/>
                <w:kern w:val="2"/>
                <w:sz w:val="21"/>
                <w:szCs w:val="22"/>
                <w:highlight w:val="none"/>
                <w:lang w:val="en-US" w:eastAsia="zh-CN" w:bidi="ar-SA"/>
              </w:rPr>
            </w:pPr>
            <w:r>
              <w:rPr>
                <w:rFonts w:hint="eastAsia" w:cs="Times New Roman"/>
                <w:color w:val="000000" w:themeColor="text1"/>
                <w:kern w:val="2"/>
                <w:sz w:val="21"/>
                <w:szCs w:val="22"/>
                <w:lang w:val="en-US" w:eastAsia="zh-CN" w:bidi="ar-SA"/>
              </w:rPr>
              <w:t>负责人叙述：</w:t>
            </w:r>
            <w:r>
              <w:rPr>
                <w:rFonts w:hint="eastAsia" w:cs="Times New Roman"/>
                <w:color w:val="000000" w:themeColor="text1"/>
                <w:kern w:val="2"/>
                <w:sz w:val="21"/>
                <w:szCs w:val="22"/>
                <w:highlight w:val="none"/>
                <w:lang w:val="en-US" w:eastAsia="zh-CN" w:bidi="ar-SA"/>
              </w:rPr>
              <w:t>为保证公司能源目标：2022年的能源目标有：</w:t>
            </w:r>
            <w:r>
              <w:rPr>
                <w:rFonts w:hint="eastAsia" w:ascii="宋体" w:hAnsi="宋体"/>
                <w:sz w:val="21"/>
                <w:szCs w:val="21"/>
                <w:highlight w:val="none"/>
              </w:rPr>
              <w:t>员工培训覆盖率</w:t>
            </w:r>
            <w:r>
              <w:rPr>
                <w:rFonts w:hint="eastAsia" w:ascii="宋体" w:hAnsi="宋体"/>
                <w:sz w:val="21"/>
                <w:szCs w:val="21"/>
                <w:highlight w:val="none"/>
                <w:lang w:val="en-US" w:eastAsia="zh-CN"/>
              </w:rPr>
              <w:t>100%</w:t>
            </w:r>
            <w:r>
              <w:rPr>
                <w:rFonts w:hint="eastAsia"/>
                <w:highlight w:val="none"/>
                <w:lang w:eastAsia="zh-CN"/>
              </w:rPr>
              <w:t>；</w:t>
            </w:r>
            <w:r>
              <w:rPr>
                <w:rFonts w:hint="eastAsia" w:ascii="宋体" w:hAnsi="宋体"/>
                <w:sz w:val="21"/>
                <w:szCs w:val="21"/>
                <w:highlight w:val="none"/>
              </w:rPr>
              <w:t>能源采购符合节能降耗规定</w:t>
            </w:r>
            <w:r>
              <w:rPr>
                <w:rFonts w:hint="eastAsia" w:ascii="宋体" w:hAnsi="宋体"/>
                <w:sz w:val="21"/>
                <w:szCs w:val="21"/>
                <w:highlight w:val="none"/>
                <w:lang w:val="en-US" w:eastAsia="zh-CN"/>
              </w:rPr>
              <w:t>100%；</w:t>
            </w:r>
            <w:r>
              <w:rPr>
                <w:rFonts w:hint="eastAsia" w:ascii="宋体" w:hAnsi="宋体"/>
                <w:sz w:val="21"/>
                <w:szCs w:val="21"/>
                <w:highlight w:val="none"/>
              </w:rPr>
              <w:t>单位产值综合能耗</w:t>
            </w:r>
            <w:r>
              <w:rPr>
                <w:rFonts w:hint="eastAsia" w:ascii="宋体" w:hAnsi="宋体"/>
                <w:sz w:val="21"/>
                <w:szCs w:val="21"/>
                <w:highlight w:val="none"/>
                <w:lang w:eastAsia="zh-CN"/>
              </w:rPr>
              <w:t>≤</w:t>
            </w:r>
            <w:r>
              <w:rPr>
                <w:rFonts w:hint="eastAsia" w:ascii="宋体" w:hAnsi="宋体"/>
                <w:sz w:val="21"/>
                <w:szCs w:val="21"/>
                <w:highlight w:val="none"/>
                <w:lang w:val="en-US" w:eastAsia="zh-CN"/>
              </w:rPr>
              <w:t>25</w:t>
            </w:r>
            <w:bookmarkStart w:id="3" w:name="_GoBack"/>
            <w:bookmarkEnd w:id="3"/>
            <w:r>
              <w:rPr>
                <w:rFonts w:hint="eastAsia" w:ascii="宋体" w:hAnsi="宋体"/>
                <w:sz w:val="21"/>
                <w:szCs w:val="21"/>
                <w:highlight w:val="none"/>
                <w:lang w:val="en-US" w:eastAsia="zh-CN"/>
              </w:rPr>
              <w:t>kg</w:t>
            </w:r>
            <w:r>
              <w:rPr>
                <w:rFonts w:hint="eastAsia" w:ascii="宋体" w:hAnsi="宋体"/>
                <w:sz w:val="21"/>
                <w:szCs w:val="21"/>
                <w:highlight w:val="none"/>
              </w:rPr>
              <w:t>ce/万元</w:t>
            </w:r>
            <w:r>
              <w:rPr>
                <w:rFonts w:hint="eastAsia" w:ascii="宋体" w:hAnsi="宋体"/>
                <w:sz w:val="21"/>
                <w:szCs w:val="21"/>
                <w:highlight w:val="none"/>
                <w:lang w:eastAsia="zh-CN"/>
              </w:rPr>
              <w:t>；</w:t>
            </w:r>
            <w:r>
              <w:rPr>
                <w:rFonts w:hint="eastAsia" w:ascii="宋体" w:hAnsi="宋体"/>
                <w:sz w:val="21"/>
                <w:szCs w:val="21"/>
                <w:highlight w:val="none"/>
                <w:lang w:val="en-US" w:eastAsia="zh-CN"/>
              </w:rPr>
              <w:t>公司</w:t>
            </w:r>
            <w:r>
              <w:rPr>
                <w:rFonts w:hint="eastAsia" w:ascii="宋体" w:hAnsi="宋体"/>
                <w:sz w:val="21"/>
                <w:szCs w:val="21"/>
                <w:highlight w:val="none"/>
              </w:rPr>
              <w:t>节约用电</w:t>
            </w:r>
            <w:r>
              <w:rPr>
                <w:rFonts w:hint="eastAsia" w:ascii="宋体" w:hAnsi="宋体"/>
                <w:sz w:val="21"/>
                <w:szCs w:val="21"/>
                <w:highlight w:val="none"/>
                <w:lang w:eastAsia="zh-CN"/>
              </w:rPr>
              <w:t>；</w:t>
            </w:r>
            <w:r>
              <w:rPr>
                <w:rFonts w:hint="eastAsia" w:ascii="宋体" w:hAnsi="宋体"/>
                <w:sz w:val="21"/>
                <w:szCs w:val="21"/>
                <w:highlight w:val="none"/>
                <w:lang w:val="en-US" w:eastAsia="zh-CN"/>
              </w:rPr>
              <w:t>节能资金支持率100%</w:t>
            </w:r>
            <w:r>
              <w:rPr>
                <w:rFonts w:hint="eastAsia" w:cs="Times New Roman"/>
                <w:color w:val="000000" w:themeColor="text1"/>
                <w:kern w:val="2"/>
                <w:sz w:val="21"/>
                <w:szCs w:val="22"/>
                <w:highlight w:val="none"/>
                <w:lang w:val="en-US" w:eastAsia="zh-CN" w:bidi="ar-SA"/>
              </w:rPr>
              <w:t>。</w:t>
            </w:r>
          </w:p>
          <w:p>
            <w:pPr>
              <w:pStyle w:val="16"/>
              <w:numPr>
                <w:ilvl w:val="0"/>
                <w:numId w:val="0"/>
              </w:numPr>
              <w:rPr>
                <w:rFonts w:hint="default"/>
                <w:lang w:val="en-US" w:eastAsia="zh-CN"/>
              </w:rPr>
            </w:pPr>
            <w:r>
              <w:rPr>
                <w:rFonts w:hint="eastAsia"/>
                <w:lang w:val="en-US" w:eastAsia="zh-CN"/>
              </w:rPr>
              <w:t>经查2022年1-8月能源目标已完成。</w:t>
            </w:r>
          </w:p>
          <w:p>
            <w:pPr>
              <w:rPr>
                <w:rFonts w:hint="default"/>
                <w:color w:val="000000" w:themeColor="text1"/>
                <w:lang w:val="en-US" w:eastAsia="zh-CN"/>
              </w:rPr>
            </w:pPr>
            <w:r>
              <w:rPr>
                <w:rFonts w:hint="eastAsia" w:cs="Times New Roman"/>
                <w:bCs w:val="0"/>
                <w:color w:val="000000" w:themeColor="text1"/>
                <w:spacing w:val="0"/>
                <w:kern w:val="2"/>
                <w:sz w:val="21"/>
                <w:highlight w:val="none"/>
                <w:lang w:val="en-US" w:eastAsia="zh-CN" w:bidi="ar-SA"/>
              </w:rPr>
              <w:t>做好自己的本职工作</w:t>
            </w:r>
            <w:r>
              <w:rPr>
                <w:rFonts w:hint="eastAsia"/>
                <w:color w:val="000000" w:themeColor="text1"/>
                <w:highlight w:val="none"/>
                <w:lang w:val="en-US" w:eastAsia="zh-CN"/>
              </w:rPr>
              <w:t>。</w:t>
            </w:r>
          </w:p>
        </w:tc>
        <w:tc>
          <w:tcPr>
            <w:tcW w:w="1213" w:type="dxa"/>
          </w:tcPr>
          <w:p>
            <w:pPr>
              <w:rPr>
                <w:rFonts w:hint="default"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60" w:type="dxa"/>
          </w:tcPr>
          <w:p>
            <w:pPr>
              <w:numPr>
                <w:ilvl w:val="0"/>
                <w:numId w:val="0"/>
              </w:numPr>
              <w:rPr>
                <w:rFonts w:hint="eastAsia"/>
                <w:color w:val="000000" w:themeColor="text1"/>
                <w:lang w:eastAsia="zh-CN"/>
              </w:rPr>
            </w:pPr>
            <w:r>
              <w:rPr>
                <w:rFonts w:hint="eastAsia"/>
                <w:color w:val="000000" w:themeColor="text1"/>
                <w:lang w:val="en-US" w:eastAsia="zh-CN"/>
              </w:rPr>
              <w:t>查员工</w:t>
            </w:r>
            <w:r>
              <w:rPr>
                <w:rFonts w:hint="eastAsia"/>
                <w:color w:val="000000" w:themeColor="text1"/>
              </w:rPr>
              <w:t>的能力、意识及培训策划与实施</w:t>
            </w:r>
            <w:r>
              <w:rPr>
                <w:rFonts w:hint="eastAsia"/>
                <w:color w:val="000000" w:themeColor="text1"/>
                <w:lang w:val="en-US" w:eastAsia="zh-CN"/>
              </w:rPr>
              <w:t>效果，沟通</w:t>
            </w:r>
            <w:r>
              <w:rPr>
                <w:rFonts w:hint="eastAsia"/>
                <w:color w:val="000000" w:themeColor="text1"/>
                <w:lang w:eastAsia="zh-CN"/>
              </w:rPr>
              <w:t>；</w:t>
            </w:r>
          </w:p>
          <w:p>
            <w:pPr>
              <w:pStyle w:val="3"/>
              <w:numPr>
                <w:ilvl w:val="0"/>
                <w:numId w:val="0"/>
              </w:numPr>
              <w:ind w:leftChars="0"/>
              <w:rPr>
                <w:rFonts w:hint="eastAsia" w:ascii="Times New Roman" w:hAnsi="Times New Roman" w:eastAsia="宋体" w:cs="Times New Roman"/>
                <w:color w:val="000000" w:themeColor="text1"/>
                <w:kern w:val="2"/>
                <w:sz w:val="21"/>
                <w:szCs w:val="22"/>
                <w:lang w:val="en-US" w:eastAsia="zh-CN" w:bidi="ar-SA"/>
              </w:rPr>
            </w:pPr>
            <w:r>
              <w:rPr>
                <w:rFonts w:hint="eastAsia" w:ascii="Times New Roman" w:hAnsi="Times New Roman" w:eastAsia="宋体" w:cs="Times New Roman"/>
                <w:color w:val="000000" w:themeColor="text1"/>
                <w:kern w:val="2"/>
                <w:sz w:val="21"/>
                <w:szCs w:val="22"/>
                <w:lang w:val="en-US" w:eastAsia="zh-CN" w:bidi="ar-SA"/>
              </w:rPr>
              <w:t>运行控制</w:t>
            </w:r>
          </w:p>
          <w:p>
            <w:pPr>
              <w:pStyle w:val="3"/>
              <w:numPr>
                <w:ilvl w:val="0"/>
                <w:numId w:val="0"/>
              </w:numPr>
              <w:ind w:leftChars="0"/>
              <w:rPr>
                <w:rFonts w:hint="default" w:ascii="Times New Roman" w:hAnsi="Times New Roman" w:eastAsia="宋体" w:cs="Times New Roman"/>
                <w:color w:val="000000" w:themeColor="text1"/>
                <w:kern w:val="2"/>
                <w:sz w:val="21"/>
                <w:szCs w:val="22"/>
                <w:lang w:val="en-US" w:eastAsia="zh-CN" w:bidi="ar-SA"/>
              </w:rPr>
            </w:pPr>
          </w:p>
        </w:tc>
        <w:tc>
          <w:tcPr>
            <w:tcW w:w="960" w:type="dxa"/>
          </w:tcPr>
          <w:p>
            <w:pPr>
              <w:rPr>
                <w:rFonts w:hint="eastAsia" w:eastAsia="宋体"/>
                <w:color w:val="000000" w:themeColor="text1"/>
                <w:lang w:val="en-US" w:eastAsia="zh-CN"/>
              </w:rPr>
            </w:pPr>
            <w:r>
              <w:rPr>
                <w:rFonts w:hint="eastAsia"/>
                <w:color w:val="000000" w:themeColor="text1"/>
              </w:rPr>
              <w:t>7.2</w:t>
            </w:r>
            <w:r>
              <w:rPr>
                <w:rFonts w:hint="eastAsia"/>
                <w:color w:val="000000" w:themeColor="text1"/>
                <w:lang w:val="en-US" w:eastAsia="zh-CN"/>
              </w:rPr>
              <w:t>/</w:t>
            </w:r>
            <w:r>
              <w:rPr>
                <w:rFonts w:hint="eastAsia"/>
                <w:color w:val="000000" w:themeColor="text1"/>
              </w:rPr>
              <w:t>7.3</w:t>
            </w:r>
            <w:r>
              <w:rPr>
                <w:rFonts w:hint="eastAsia"/>
                <w:color w:val="000000" w:themeColor="text1"/>
                <w:lang w:val="en-US" w:eastAsia="zh-CN"/>
              </w:rPr>
              <w:t>/</w:t>
            </w:r>
          </w:p>
          <w:p>
            <w:pPr>
              <w:pStyle w:val="10"/>
              <w:ind w:left="0" w:leftChars="0" w:firstLine="0" w:firstLineChars="0"/>
              <w:rPr>
                <w:rFonts w:hint="default" w:eastAsia="宋体"/>
                <w:color w:val="000000" w:themeColor="text1"/>
                <w:lang w:val="en-US" w:eastAsia="zh-CN"/>
              </w:rPr>
            </w:pPr>
            <w:r>
              <w:rPr>
                <w:rFonts w:hint="eastAsia" w:ascii="宋体" w:hAnsi="宋体" w:cs="Times New Roman"/>
                <w:color w:val="000000" w:themeColor="text1"/>
                <w:sz w:val="21"/>
                <w:szCs w:val="21"/>
                <w:lang w:val="en-US" w:eastAsia="zh-CN"/>
              </w:rPr>
              <w:t>7</w:t>
            </w:r>
            <w:r>
              <w:rPr>
                <w:rFonts w:hint="eastAsia"/>
                <w:color w:val="000000" w:themeColor="text1"/>
              </w:rPr>
              <w:t>.</w:t>
            </w:r>
            <w:r>
              <w:rPr>
                <w:rFonts w:hint="eastAsia" w:ascii="宋体" w:hAnsi="宋体" w:cs="Times New Roman"/>
                <w:color w:val="000000" w:themeColor="text1"/>
                <w:sz w:val="21"/>
                <w:szCs w:val="21"/>
                <w:lang w:val="en-US" w:eastAsia="zh-CN"/>
              </w:rPr>
              <w:t>4/8.1</w:t>
            </w:r>
          </w:p>
        </w:tc>
        <w:tc>
          <w:tcPr>
            <w:tcW w:w="10376" w:type="dxa"/>
          </w:tcPr>
          <w:p>
            <w:pPr>
              <w:numPr>
                <w:ilvl w:val="0"/>
                <w:numId w:val="5"/>
              </w:numPr>
              <w:ind w:left="0" w:leftChars="0" w:firstLine="420" w:firstLineChars="0"/>
              <w:rPr>
                <w:rFonts w:hint="eastAsia"/>
                <w:color w:val="000000" w:themeColor="text1"/>
                <w:lang w:val="en-US" w:eastAsia="zh-CN"/>
              </w:rPr>
            </w:pPr>
            <w:r>
              <w:rPr>
                <w:rFonts w:hint="eastAsia"/>
                <w:color w:val="000000" w:themeColor="text1"/>
                <w:lang w:val="en-US" w:eastAsia="zh-CN"/>
              </w:rPr>
              <w:t>查阅文件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提供《能源管理手册》、</w:t>
            </w:r>
            <w:r>
              <w:rPr>
                <w:rFonts w:hint="eastAsia"/>
                <w:color w:val="000000" w:themeColor="text1"/>
                <w:lang w:eastAsia="zh-CN"/>
              </w:rPr>
              <w:t>《</w:t>
            </w:r>
            <w:r>
              <w:rPr>
                <w:rFonts w:hint="eastAsia"/>
                <w:color w:val="000000" w:themeColor="text1"/>
                <w:lang w:val="en-US" w:eastAsia="zh-CN"/>
              </w:rPr>
              <w:t>程序文件</w:t>
            </w:r>
            <w:r>
              <w:rPr>
                <w:rFonts w:hint="eastAsia"/>
                <w:color w:val="000000" w:themeColor="text1"/>
                <w:lang w:eastAsia="zh-CN"/>
              </w:rPr>
              <w:t>》</w:t>
            </w:r>
            <w:r>
              <w:rPr>
                <w:rFonts w:hint="eastAsia"/>
                <w:color w:val="000000" w:themeColor="text1"/>
                <w:lang w:val="en-US" w:eastAsia="zh-CN"/>
              </w:rPr>
              <w:t>、能源管理制度，相关文件有《</w:t>
            </w:r>
            <w:r>
              <w:rPr>
                <w:rFonts w:hint="eastAsia" w:ascii="宋体" w:hAnsi="宋体" w:eastAsia="宋体" w:cs="宋体"/>
                <w:sz w:val="21"/>
                <w:szCs w:val="21"/>
                <w:lang w:val="en-US" w:eastAsia="zh-CN"/>
              </w:rPr>
              <w:t>能力、意识和培训控制程序</w:t>
            </w:r>
            <w:r>
              <w:rPr>
                <w:rFonts w:hint="eastAsia" w:ascii="宋体" w:hAnsi="宋体" w:eastAsia="宋体" w:cs="宋体"/>
                <w:color w:val="000000" w:themeColor="text1"/>
                <w:sz w:val="21"/>
                <w:szCs w:val="21"/>
                <w:lang w:val="en-US" w:eastAsia="zh-CN"/>
              </w:rPr>
              <w:t>》</w:t>
            </w:r>
            <w:r>
              <w:rPr>
                <w:rFonts w:hint="eastAsia"/>
                <w:color w:val="000000" w:themeColor="text1"/>
                <w:lang w:val="en-US" w:eastAsia="zh-CN"/>
              </w:rPr>
              <w:t>《信息沟通程序》，基本符合标准要求。</w:t>
            </w:r>
          </w:p>
          <w:p>
            <w:pPr>
              <w:numPr>
                <w:ilvl w:val="0"/>
                <w:numId w:val="0"/>
              </w:numPr>
              <w:ind w:firstLine="420" w:firstLineChars="200"/>
              <w:rPr>
                <w:rFonts w:hint="eastAsia"/>
                <w:color w:val="000000" w:themeColor="text1"/>
              </w:rPr>
            </w:pPr>
            <w:r>
              <w:rPr>
                <w:rFonts w:hint="eastAsia"/>
                <w:color w:val="000000" w:themeColor="text1"/>
                <w:lang w:val="en-US" w:eastAsia="zh-CN"/>
              </w:rPr>
              <w:t>以上</w:t>
            </w:r>
            <w:r>
              <w:rPr>
                <w:rFonts w:hint="eastAsia"/>
                <w:color w:val="000000" w:themeColor="text1"/>
                <w:lang w:eastAsia="zh-CN"/>
              </w:rPr>
              <w:t>有发布，实施。有编审批。确保了其适宜性和充分性</w:t>
            </w:r>
            <w:r>
              <w:rPr>
                <w:rFonts w:hint="eastAsia"/>
                <w:color w:val="000000" w:themeColor="text1"/>
              </w:rPr>
              <w:t>。</w:t>
            </w:r>
          </w:p>
          <w:p>
            <w:pPr>
              <w:ind w:firstLine="420"/>
              <w:rPr>
                <w:rFonts w:hint="default"/>
                <w:color w:val="000000" w:themeColor="text1"/>
                <w:lang w:val="en-US" w:eastAsia="zh-CN"/>
              </w:rPr>
            </w:pPr>
            <w:r>
              <w:rPr>
                <w:rFonts w:hint="eastAsia"/>
                <w:color w:val="000000" w:themeColor="text1"/>
                <w:lang w:val="en-US" w:eastAsia="zh-CN"/>
              </w:rPr>
              <w:t>二、查阅能力、意识和沟通</w:t>
            </w:r>
          </w:p>
          <w:p>
            <w:pPr>
              <w:ind w:firstLine="420"/>
              <w:rPr>
                <w:rFonts w:hint="default"/>
                <w:color w:val="000000" w:themeColor="text1"/>
                <w:lang w:val="en-US" w:eastAsia="zh-CN"/>
              </w:rPr>
            </w:pPr>
            <w:r>
              <w:rPr>
                <w:rFonts w:hint="eastAsia"/>
                <w:color w:val="000000" w:themeColor="text1"/>
                <w:lang w:val="en-US" w:eastAsia="zh-CN"/>
              </w:rPr>
              <w:t>1、能力、培训方面，在</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w:t>
            </w:r>
            <w:r>
              <w:rPr>
                <w:rFonts w:hint="eastAsia" w:ascii="宋体" w:hAnsi="宋体" w:eastAsia="宋体" w:cs="宋体"/>
                <w:sz w:val="21"/>
                <w:szCs w:val="21"/>
                <w:lang w:val="en-US" w:eastAsia="zh-CN"/>
              </w:rPr>
              <w:t>能力、意识和培训控制程序</w:t>
            </w:r>
            <w:r>
              <w:rPr>
                <w:rFonts w:hint="eastAsia"/>
                <w:color w:val="000000" w:themeColor="text1"/>
                <w:lang w:val="en-US" w:eastAsia="zh-CN"/>
              </w:rPr>
              <w:t>》均有相应的规定：</w:t>
            </w:r>
          </w:p>
          <w:p>
            <w:pPr>
              <w:ind w:firstLine="420" w:firstLineChars="200"/>
              <w:rPr>
                <w:rFonts w:hint="eastAsia"/>
                <w:color w:val="000000" w:themeColor="text1"/>
                <w:lang w:val="en-US" w:eastAsia="zh-CN"/>
              </w:rPr>
            </w:pPr>
            <w:r>
              <w:rPr>
                <w:rFonts w:hint="eastAsia"/>
                <w:color w:val="000000" w:themeColor="text1"/>
                <w:lang w:val="en-US" w:eastAsia="zh-CN"/>
              </w:rPr>
              <w:t>人力资源部负责公司编制《</w:t>
            </w:r>
            <w:r>
              <w:rPr>
                <w:rFonts w:hint="eastAsia" w:ascii="宋体" w:hAnsi="宋体" w:eastAsia="宋体" w:cs="宋体"/>
                <w:sz w:val="21"/>
                <w:szCs w:val="21"/>
                <w:lang w:val="en-US" w:eastAsia="zh-CN"/>
              </w:rPr>
              <w:t>能力、意识和培训控制程序</w:t>
            </w:r>
            <w:r>
              <w:rPr>
                <w:rFonts w:hint="eastAsia"/>
                <w:color w:val="000000" w:themeColor="text1"/>
                <w:lang w:val="en-US" w:eastAsia="zh-CN"/>
              </w:rPr>
              <w:t xml:space="preserve">》，规定能源管理和能源使用岗位人员招聘、培训、使用的有关要求，确保公司能源管理和能源使用岗位人员的能力是能够胜任的。 </w:t>
            </w:r>
          </w:p>
          <w:p>
            <w:pPr>
              <w:ind w:left="420" w:leftChars="200" w:firstLine="0" w:firstLineChars="0"/>
              <w:rPr>
                <w:rFonts w:hint="default"/>
                <w:color w:val="000000" w:themeColor="text1"/>
                <w:lang w:val="en-US" w:eastAsia="zh-CN"/>
              </w:rPr>
            </w:pPr>
            <w:r>
              <w:rPr>
                <w:rFonts w:hint="eastAsia"/>
                <w:color w:val="000000" w:themeColor="text1"/>
                <w:lang w:val="en-US" w:eastAsia="zh-CN"/>
              </w:rPr>
              <w:t>2、在意识方面，</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w:t>
            </w:r>
            <w:r>
              <w:rPr>
                <w:rFonts w:hint="eastAsia" w:ascii="宋体" w:hAnsi="宋体" w:eastAsia="宋体" w:cs="宋体"/>
                <w:sz w:val="21"/>
                <w:szCs w:val="21"/>
                <w:lang w:val="en-US" w:eastAsia="zh-CN"/>
              </w:rPr>
              <w:t>能力、意识和培训控制程序</w:t>
            </w:r>
            <w:r>
              <w:rPr>
                <w:rFonts w:hint="eastAsia"/>
                <w:color w:val="000000" w:themeColor="text1"/>
                <w:lang w:val="en-US" w:eastAsia="zh-CN"/>
              </w:rPr>
              <w:t>》均有相应的规定，</w:t>
            </w:r>
          </w:p>
          <w:p>
            <w:pPr>
              <w:pStyle w:val="10"/>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公司通过以下措施来提高员工的节能意识，确保能源管理体系运行的有效性和适宜性。</w:t>
            </w:r>
          </w:p>
          <w:p>
            <w:pPr>
              <w:pStyle w:val="10"/>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在公司能源管理体系下工作的人员应意识到： </w:t>
            </w:r>
          </w:p>
          <w:p>
            <w:pPr>
              <w:pStyle w:val="10"/>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a) 符合能源方针、程序和能源管理体系要求的重要性； </w:t>
            </w:r>
          </w:p>
          <w:p>
            <w:pPr>
              <w:pStyle w:val="10"/>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b) 他们对能源管理体系有效性的贡献，包括目标和能源指标的实现以及改进能源绩效的益处； </w:t>
            </w:r>
          </w:p>
          <w:p>
            <w:pPr>
              <w:pStyle w:val="10"/>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c) 自身活动或行为对能源绩效的影响； </w:t>
            </w:r>
          </w:p>
          <w:p>
            <w:pPr>
              <w:pStyle w:val="10"/>
              <w:numPr>
                <w:ilvl w:val="0"/>
                <w:numId w:val="0"/>
              </w:numPr>
              <w:ind w:firstLine="420" w:firstLineChars="200"/>
              <w:rPr>
                <w:rFonts w:hint="default"/>
                <w:color w:val="000000" w:themeColor="text1"/>
                <w:lang w:val="en-US"/>
              </w:rPr>
            </w:pPr>
            <w:r>
              <w:rPr>
                <w:rFonts w:hint="eastAsia"/>
                <w:color w:val="000000" w:themeColor="text1"/>
                <w:lang w:val="en-US" w:eastAsia="zh-CN"/>
              </w:rPr>
              <w:t>d) 不符合能源管理体系要求的后果。</w:t>
            </w:r>
          </w:p>
          <w:p>
            <w:pPr>
              <w:pStyle w:val="10"/>
              <w:numPr>
                <w:ilvl w:val="0"/>
                <w:numId w:val="0"/>
              </w:numPr>
              <w:ind w:firstLine="420" w:firstLineChars="200"/>
              <w:rPr>
                <w:rFonts w:hint="default" w:eastAsia="宋体"/>
                <w:color w:val="000000" w:themeColor="text1"/>
                <w:lang w:val="en-US" w:eastAsia="zh-CN"/>
              </w:rPr>
            </w:pPr>
            <w:r>
              <w:rPr>
                <w:rFonts w:hint="eastAsia"/>
                <w:color w:val="000000" w:themeColor="text1"/>
                <w:lang w:val="en-US" w:eastAsia="zh-CN"/>
              </w:rPr>
              <w:t>3、在沟通方面，</w:t>
            </w:r>
            <w:r>
              <w:rPr>
                <w:rFonts w:hint="eastAsia"/>
                <w:color w:val="000000" w:themeColor="text1"/>
                <w:lang w:eastAsia="zh-CN"/>
              </w:rPr>
              <w:t>《</w:t>
            </w:r>
            <w:r>
              <w:rPr>
                <w:rFonts w:hint="eastAsia"/>
                <w:color w:val="000000" w:themeColor="text1"/>
                <w:lang w:val="en-US" w:eastAsia="zh-CN"/>
              </w:rPr>
              <w:t>信息沟通程序</w:t>
            </w:r>
            <w:r>
              <w:rPr>
                <w:rFonts w:hint="eastAsia"/>
                <w:color w:val="000000" w:themeColor="text1"/>
                <w:lang w:eastAsia="zh-CN"/>
              </w:rPr>
              <w:t>》</w:t>
            </w:r>
            <w:r>
              <w:rPr>
                <w:rFonts w:hint="eastAsia"/>
                <w:color w:val="000000" w:themeColor="text1"/>
                <w:lang w:val="en-US" w:eastAsia="zh-CN"/>
              </w:rPr>
              <w:t>公司均有相应的规定。</w:t>
            </w:r>
          </w:p>
          <w:p>
            <w:pPr>
              <w:numPr>
                <w:ilvl w:val="0"/>
                <w:numId w:val="0"/>
              </w:numPr>
              <w:ind w:firstLine="420" w:firstLineChars="200"/>
              <w:rPr>
                <w:rFonts w:hint="eastAsia"/>
                <w:color w:val="000000" w:themeColor="text1"/>
                <w:lang w:eastAsia="zh-CN"/>
              </w:rPr>
            </w:pPr>
            <w:r>
              <w:rPr>
                <w:rFonts w:hint="eastAsia"/>
                <w:color w:val="000000" w:themeColor="text1"/>
                <w:lang w:eastAsia="zh-CN"/>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rPr>
            </w:pPr>
            <w:r>
              <w:rPr>
                <w:rFonts w:hint="eastAsia"/>
                <w:color w:val="000000" w:themeColor="text1"/>
                <w:lang w:eastAsia="zh-CN"/>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b) 法律法规、标准类信息；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c) 来源于顾客、供方及其他相关方的信息。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公司内部建立生产（节能）例会制度，每月召开生产（节能）例会不少</w:t>
            </w:r>
            <w:r>
              <w:rPr>
                <w:rFonts w:hint="eastAsia"/>
                <w:color w:val="000000" w:themeColor="text1"/>
                <w:lang w:val="en-US" w:eastAsia="zh-CN"/>
              </w:rPr>
              <w:t>一</w:t>
            </w:r>
            <w:r>
              <w:rPr>
                <w:rFonts w:hint="eastAsia"/>
                <w:color w:val="000000" w:themeColor="text1"/>
                <w:lang w:eastAsia="zh-CN"/>
              </w:rPr>
              <w:t>次。</w:t>
            </w:r>
            <w:r>
              <w:rPr>
                <w:rFonts w:hint="eastAsia"/>
                <w:color w:val="000000" w:themeColor="text1"/>
                <w:lang w:val="en-US" w:eastAsia="zh-CN"/>
              </w:rPr>
              <w:t>公司沟通还包括：会议、电话、网络、文件、专题会议等。</w:t>
            </w:r>
          </w:p>
          <w:p>
            <w:pPr>
              <w:numPr>
                <w:ilvl w:val="0"/>
                <w:numId w:val="0"/>
              </w:numPr>
              <w:ind w:firstLine="420" w:firstLineChars="200"/>
              <w:rPr>
                <w:rFonts w:hint="eastAsia"/>
                <w:color w:val="000000" w:themeColor="text1"/>
                <w:lang w:val="en-US" w:eastAsia="zh-CN"/>
              </w:rPr>
            </w:pPr>
            <w:r>
              <w:rPr>
                <w:rFonts w:hint="eastAsia"/>
                <w:color w:val="000000" w:themeColor="text1"/>
                <w:lang w:eastAsia="zh-CN"/>
              </w:rPr>
              <w:t>公司内外部信息沟通保持了畅通。</w:t>
            </w:r>
          </w:p>
          <w:p>
            <w:pPr>
              <w:numPr>
                <w:ilvl w:val="0"/>
                <w:numId w:val="0"/>
              </w:numPr>
              <w:spacing w:line="240" w:lineRule="auto"/>
              <w:ind w:left="420" w:leftChars="0"/>
              <w:rPr>
                <w:rFonts w:hint="eastAsia"/>
                <w:color w:val="000000" w:themeColor="text1"/>
                <w:lang w:val="en-US" w:eastAsia="zh-CN"/>
              </w:rPr>
            </w:pPr>
            <w:r>
              <w:rPr>
                <w:rFonts w:hint="eastAsia"/>
                <w:color w:val="000000" w:themeColor="text1"/>
                <w:lang w:val="en-US" w:eastAsia="zh-CN"/>
              </w:rPr>
              <w:t xml:space="preserve">三、查培训    </w:t>
            </w:r>
          </w:p>
          <w:p>
            <w:pPr>
              <w:numPr>
                <w:ilvl w:val="0"/>
                <w:numId w:val="6"/>
              </w:numPr>
              <w:spacing w:line="240" w:lineRule="auto"/>
              <w:ind w:left="735" w:leftChars="0" w:firstLine="0" w:firstLineChars="0"/>
              <w:rPr>
                <w:rFonts w:hint="eastAsia"/>
                <w:color w:val="000000" w:themeColor="text1"/>
                <w:lang w:val="en-US" w:eastAsia="zh-CN"/>
              </w:rPr>
            </w:pPr>
            <w:r>
              <w:rPr>
                <w:rFonts w:hint="eastAsia"/>
                <w:color w:val="000000" w:themeColor="text1"/>
                <w:lang w:val="en-US" w:eastAsia="zh-CN"/>
              </w:rPr>
              <w:t>提供文件：</w:t>
            </w:r>
            <w:r>
              <w:rPr>
                <w:rFonts w:hint="eastAsia"/>
                <w:color w:val="000000" w:themeColor="text1"/>
                <w:highlight w:val="none"/>
                <w:lang w:val="en-US" w:eastAsia="zh-CN"/>
              </w:rPr>
              <w:t>《2022年度能源体系培训计划》</w:t>
            </w:r>
          </w:p>
          <w:p>
            <w:pPr>
              <w:pStyle w:val="16"/>
              <w:spacing w:line="240" w:lineRule="auto"/>
              <w:jc w:val="both"/>
              <w:rPr>
                <w:rFonts w:hint="eastAsia"/>
                <w:color w:val="000000" w:themeColor="text1"/>
                <w:lang w:val="en-US" w:eastAsia="zh-CN"/>
              </w:rPr>
            </w:pPr>
            <w:r>
              <w:rPr>
                <w:rFonts w:hint="eastAsia"/>
                <w:color w:val="000000" w:themeColor="text1"/>
                <w:lang w:val="en-US" w:eastAsia="zh-CN"/>
              </w:rPr>
              <w:drawing>
                <wp:inline distT="0" distB="0" distL="114300" distR="114300">
                  <wp:extent cx="2731770" cy="1170940"/>
                  <wp:effectExtent l="0" t="0" r="11430" b="10160"/>
                  <wp:docPr id="17" name="图片 17" descr="1663554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63554783(1)"/>
                          <pic:cNvPicPr>
                            <a:picLocks noChangeAspect="1"/>
                          </pic:cNvPicPr>
                        </pic:nvPicPr>
                        <pic:blipFill>
                          <a:blip r:embed="rId10"/>
                          <a:stretch>
                            <a:fillRect/>
                          </a:stretch>
                        </pic:blipFill>
                        <pic:spPr>
                          <a:xfrm>
                            <a:off x="0" y="0"/>
                            <a:ext cx="2731770" cy="1170940"/>
                          </a:xfrm>
                          <a:prstGeom prst="rect">
                            <a:avLst/>
                          </a:prstGeom>
                        </pic:spPr>
                      </pic:pic>
                    </a:graphicData>
                  </a:graphic>
                </wp:inline>
              </w:drawing>
            </w:r>
          </w:p>
          <w:p>
            <w:pPr>
              <w:numPr>
                <w:ilvl w:val="0"/>
                <w:numId w:val="0"/>
              </w:numPr>
              <w:spacing w:line="240" w:lineRule="auto"/>
              <w:rPr>
                <w:rFonts w:hint="eastAsia" w:eastAsia="宋体" w:asciiTheme="majorEastAsia" w:hAnsiTheme="majorEastAsia" w:cstheme="majorEastAsia"/>
                <w:color w:val="000000" w:themeColor="text1"/>
                <w:sz w:val="21"/>
                <w:szCs w:val="21"/>
                <w:lang w:val="en-US" w:eastAsia="zh-CN"/>
              </w:rPr>
            </w:pPr>
            <w:r>
              <w:rPr>
                <w:rFonts w:hint="eastAsia"/>
                <w:color w:val="000000" w:themeColor="text1"/>
                <w:lang w:val="en-US" w:eastAsia="zh-CN"/>
              </w:rPr>
              <w:t>2、抽查阅该公司能源《培训记录表》，抽2021.12.27日 培训项目：能源管理体系标准，参加培训人员：</w:t>
            </w:r>
            <w:r>
              <w:rPr>
                <w:rFonts w:hint="eastAsia" w:ascii="宋体" w:hAnsi="宋体" w:eastAsia="宋体" w:cs="宋体"/>
                <w:color w:val="auto"/>
                <w:sz w:val="21"/>
                <w:szCs w:val="21"/>
                <w:lang w:val="en-US" w:eastAsia="zh-CN"/>
              </w:rPr>
              <w:t>陆桂来</w:t>
            </w:r>
            <w:r>
              <w:rPr>
                <w:rFonts w:hint="eastAsia"/>
                <w:color w:val="000000" w:themeColor="text1"/>
                <w:lang w:val="en-US" w:eastAsia="zh-CN"/>
              </w:rPr>
              <w:t>、</w:t>
            </w:r>
            <w:r>
              <w:rPr>
                <w:rFonts w:hint="eastAsia" w:ascii="宋体" w:hAnsi="宋体" w:eastAsia="宋体" w:cs="宋体"/>
                <w:color w:val="auto"/>
                <w:sz w:val="21"/>
                <w:szCs w:val="21"/>
                <w:lang w:val="en-US" w:eastAsia="zh-CN"/>
              </w:rPr>
              <w:t>苗加星</w:t>
            </w:r>
            <w:r>
              <w:rPr>
                <w:rFonts w:hint="eastAsia"/>
                <w:color w:val="000000" w:themeColor="text1"/>
                <w:lang w:val="en-US" w:eastAsia="zh-CN"/>
              </w:rPr>
              <w:t>、</w:t>
            </w:r>
            <w:r>
              <w:rPr>
                <w:rFonts w:hint="eastAsia" w:ascii="宋体" w:hAnsi="宋体" w:eastAsia="宋体" w:cs="宋体"/>
                <w:color w:val="auto"/>
                <w:sz w:val="21"/>
                <w:szCs w:val="21"/>
                <w:lang w:val="en-US" w:eastAsia="zh-CN"/>
              </w:rPr>
              <w:t>陈伏珠、方伊莉</w:t>
            </w:r>
            <w:r>
              <w:rPr>
                <w:rFonts w:hint="eastAsia"/>
                <w:color w:val="000000" w:themeColor="text1"/>
                <w:lang w:val="en-US" w:eastAsia="zh-CN"/>
              </w:rPr>
              <w:t>等，培训内容有：</w:t>
            </w:r>
            <w:r>
              <w:rPr>
                <w:rFonts w:hint="eastAsia" w:ascii="宋体" w:hAnsi="宋体"/>
                <w:sz w:val="21"/>
                <w:szCs w:val="21"/>
              </w:rPr>
              <w:t>GB/T23331-2020标准</w:t>
            </w:r>
            <w:r>
              <w:rPr>
                <w:rFonts w:hint="eastAsia" w:ascii="宋体" w:hAnsi="宋体"/>
                <w:sz w:val="21"/>
                <w:szCs w:val="21"/>
                <w:lang w:eastAsia="zh-CN"/>
              </w:rPr>
              <w:t>、</w:t>
            </w:r>
            <w:r>
              <w:rPr>
                <w:rFonts w:ascii="宋体" w:hAnsi="宋体" w:eastAsia="宋体" w:cs="宋体"/>
                <w:sz w:val="21"/>
                <w:szCs w:val="21"/>
              </w:rPr>
              <w:t>RB/T 119-2015</w:t>
            </w:r>
            <w:r>
              <w:rPr>
                <w:rFonts w:hint="eastAsia" w:ascii="宋体" w:hAnsi="宋体" w:eastAsia="宋体" w:cs="宋体"/>
                <w:sz w:val="21"/>
                <w:szCs w:val="21"/>
              </w:rPr>
              <w:t>《能源管理体系 机械制造企业认证》</w:t>
            </w:r>
            <w:r>
              <w:rPr>
                <w:rFonts w:hint="eastAsia"/>
                <w:color w:val="000000" w:themeColor="text1"/>
                <w:lang w:val="en-US" w:eastAsia="zh-CN"/>
              </w:rPr>
              <w:t>，</w:t>
            </w:r>
            <w:r>
              <w:rPr>
                <w:rFonts w:hint="eastAsia" w:ascii="宋体" w:hAnsi="宋体"/>
                <w:szCs w:val="21"/>
              </w:rPr>
              <w:t>培训</w:t>
            </w:r>
            <w:r>
              <w:rPr>
                <w:rFonts w:hint="eastAsia" w:ascii="宋体" w:hAnsi="宋体"/>
                <w:szCs w:val="21"/>
                <w:lang w:val="en-US" w:eastAsia="zh-CN"/>
              </w:rPr>
              <w:t>评价等。</w:t>
            </w:r>
          </w:p>
          <w:p>
            <w:pPr>
              <w:pStyle w:val="3"/>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令抽查2022.5.10培训项目：</w:t>
            </w:r>
            <w:r>
              <w:rPr>
                <w:rFonts w:hint="eastAsia" w:ascii="宋体" w:hAnsi="宋体" w:eastAsia="宋体"/>
                <w:sz w:val="21"/>
                <w:szCs w:val="21"/>
                <w:lang w:val="en-US" w:eastAsia="zh-CN"/>
              </w:rPr>
              <w:t>能源体系运行培训</w:t>
            </w:r>
            <w:r>
              <w:rPr>
                <w:rFonts w:hint="eastAsia" w:asciiTheme="majorEastAsia" w:hAnsiTheme="majorEastAsia" w:eastAsiaTheme="majorEastAsia" w:cstheme="majorEastAsia"/>
                <w:sz w:val="21"/>
                <w:szCs w:val="21"/>
                <w:lang w:val="en-US" w:eastAsia="zh-CN"/>
              </w:rPr>
              <w:t>和2022.4.20培训项目：</w:t>
            </w:r>
            <w:r>
              <w:rPr>
                <w:rFonts w:hint="eastAsia" w:ascii="宋体" w:hAnsi="宋体" w:eastAsia="宋体"/>
                <w:sz w:val="21"/>
                <w:szCs w:val="21"/>
                <w:lang w:val="en-US" w:eastAsia="zh-CN"/>
              </w:rPr>
              <w:t>专业知识培训</w:t>
            </w:r>
            <w:r>
              <w:rPr>
                <w:rFonts w:hint="eastAsia" w:asciiTheme="majorEastAsia" w:hAnsiTheme="majorEastAsia" w:eastAsiaTheme="majorEastAsia" w:cstheme="majorEastAsia"/>
                <w:sz w:val="21"/>
                <w:szCs w:val="21"/>
                <w:lang w:val="en-US" w:eastAsia="zh-CN"/>
              </w:rPr>
              <w:t>的培训记录表，有培训教师、参加培训人员、培训评价等，经查符合要求。</w:t>
            </w:r>
          </w:p>
          <w:p>
            <w:pPr>
              <w:keepNext w:val="0"/>
              <w:keepLines w:val="0"/>
              <w:pageBreakBefore w:val="0"/>
              <w:widowControl w:val="0"/>
              <w:kinsoku/>
              <w:wordWrap/>
              <w:overflowPunct/>
              <w:topLinePunct w:val="0"/>
              <w:bidi w:val="0"/>
              <w:adjustRightInd/>
              <w:snapToGrid/>
              <w:ind w:firstLine="420" w:firstLineChars="200"/>
              <w:jc w:val="left"/>
              <w:textAlignment w:val="auto"/>
              <w:rPr>
                <w:rFonts w:hint="eastAsia" w:asciiTheme="majorEastAsia" w:hAnsiTheme="majorEastAsia" w:eastAsiaTheme="majorEastAsia" w:cstheme="majorEastAsia"/>
                <w:color w:val="000000" w:themeColor="text1"/>
                <w:kern w:val="2"/>
                <w:sz w:val="21"/>
                <w:szCs w:val="21"/>
                <w:lang w:val="en-US" w:eastAsia="zh-CN" w:bidi="ar-SA"/>
              </w:rPr>
            </w:pPr>
            <w:r>
              <w:rPr>
                <w:rFonts w:hint="eastAsia" w:asciiTheme="majorEastAsia" w:hAnsiTheme="majorEastAsia" w:eastAsiaTheme="majorEastAsia" w:cstheme="majorEastAsia"/>
                <w:color w:val="000000" w:themeColor="text1"/>
                <w:sz w:val="21"/>
                <w:szCs w:val="21"/>
                <w:lang w:val="en-US" w:eastAsia="zh-CN"/>
              </w:rPr>
              <w:t>公司在能源意识、能源沟通方面没有发生不符合，</w:t>
            </w:r>
            <w:r>
              <w:rPr>
                <w:rFonts w:hint="eastAsia" w:asciiTheme="majorEastAsia" w:hAnsiTheme="majorEastAsia" w:eastAsiaTheme="majorEastAsia" w:cstheme="majorEastAsia"/>
                <w:color w:val="000000" w:themeColor="text1"/>
                <w:kern w:val="2"/>
                <w:sz w:val="21"/>
                <w:szCs w:val="21"/>
                <w:lang w:val="en-US" w:eastAsia="zh-CN" w:bidi="ar-SA"/>
              </w:rPr>
              <w:t>符合标准要求，也符合公司的管理实际。</w:t>
            </w:r>
          </w:p>
          <w:p>
            <w:pPr>
              <w:ind w:firstLine="420" w:firstLineChars="200"/>
              <w:rPr>
                <w:rFonts w:hint="default"/>
                <w:color w:val="000000" w:themeColor="text1"/>
                <w:highlight w:val="yellow"/>
                <w:lang w:val="en-US" w:eastAsia="zh-CN"/>
              </w:rPr>
            </w:pPr>
            <w:r>
              <w:rPr>
                <w:rFonts w:hint="eastAsia" w:asciiTheme="majorEastAsia" w:hAnsiTheme="majorEastAsia" w:eastAsiaTheme="majorEastAsia" w:cstheme="majorEastAsia"/>
                <w:color w:val="000000" w:themeColor="text1"/>
                <w:sz w:val="21"/>
                <w:szCs w:val="21"/>
                <w:highlight w:val="none"/>
                <w:lang w:val="en-US" w:eastAsia="zh-CN"/>
              </w:rPr>
              <w:t>四、</w:t>
            </w:r>
            <w:r>
              <w:rPr>
                <w:rFonts w:hint="eastAsia"/>
                <w:color w:val="000000" w:themeColor="text1"/>
                <w:highlight w:val="none"/>
                <w:lang w:val="en-US" w:eastAsia="zh-CN"/>
              </w:rPr>
              <w:t>查阅人员及资质。</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提供《特种人员名单》，按照：序号、姓名、作业类别、操作项目、证件号、初次发证日期、应复审日期、有效期等进行登记，提供特种作业人员及特种设备作业人员资质，电工作业、焊工等，符合要求以及公司生产实际。以下抽查。</w:t>
            </w:r>
          </w:p>
          <w:tbl>
            <w:tblPr>
              <w:tblStyle w:val="12"/>
              <w:tblW w:w="1005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878"/>
              <w:gridCol w:w="1240"/>
              <w:gridCol w:w="2643"/>
              <w:gridCol w:w="878"/>
              <w:gridCol w:w="1649"/>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姓名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工种</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证号（特种作业操作证）</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部门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证书有效期</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复审日期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张泽宇</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高压电工</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T320107199607095049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安环部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2027.3.20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费成婵</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高压电工</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T321023198202131428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安环部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2027.4.30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张叶蕾</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低压电工</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T320103198010100036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锻压车间</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2026.9.15</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2023.09.15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张叶蕾</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高压电工</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T320103198010100036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锻压车间</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2027.4.1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刘中华</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高压电工</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T320113196308113212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安环部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2023.8.11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2023.8.11</w:t>
                  </w:r>
                </w:p>
              </w:tc>
            </w:tr>
          </w:tbl>
          <w:p>
            <w:pPr>
              <w:pStyle w:val="15"/>
              <w:rPr>
                <w:rFonts w:hint="eastAsia"/>
                <w:lang w:val="en-US" w:eastAsia="zh-CN"/>
              </w:rPr>
            </w:pPr>
          </w:p>
          <w:tbl>
            <w:tblPr>
              <w:tblStyle w:val="12"/>
              <w:tblW w:w="1005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870"/>
              <w:gridCol w:w="1780"/>
              <w:gridCol w:w="2430"/>
              <w:gridCol w:w="963"/>
              <w:gridCol w:w="1583"/>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姓名</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工种</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证号（特种作业操作证）</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部门</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证书有效期</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孙云</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熔化焊接与热切割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T320106199210131623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铆焊车间</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2028.7.25</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FF0000"/>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吴涛</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熔化焊接与热切割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T320107199106145036</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铆焊车间</w:t>
                  </w:r>
                </w:p>
              </w:tc>
              <w:tc>
                <w:tcPr>
                  <w:tcW w:w="1583"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2026.2.19</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汪光志</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熔化焊接与热切割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T320111197912205617</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铆焊车间</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2026.6.1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FF0000"/>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王东</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熔化焊接与热切割</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T320107197312163412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铆焊车间</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Style w:val="24"/>
                      <w:sz w:val="18"/>
                      <w:szCs w:val="18"/>
                      <w:lang w:val="en-US" w:eastAsia="zh-CN" w:bidi="ar"/>
                    </w:rPr>
                    <w:t>2026.11.14</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Style w:val="24"/>
                      <w:sz w:val="18"/>
                      <w:szCs w:val="18"/>
                      <w:lang w:val="en-US" w:eastAsia="zh-CN" w:bidi="ar"/>
                    </w:rPr>
                    <w:t>2026.11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任经传</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熔化焊接与热切割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T340602196610014217</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铆焊车间</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2026.10.1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2023.12.14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王波</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熔化焊接与热切割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T320323199203130275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铆焊车间</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2027.12.29</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2024.12.29</w:t>
                  </w:r>
                </w:p>
              </w:tc>
            </w:tr>
          </w:tbl>
          <w:p>
            <w:pPr>
              <w:pStyle w:val="15"/>
              <w:rPr>
                <w:rFonts w:hint="default"/>
                <w:lang w:val="en-US" w:eastAsia="zh-CN"/>
              </w:rPr>
            </w:pPr>
            <w:r>
              <w:rPr>
                <w:rFonts w:hint="eastAsia"/>
                <w:lang w:val="en-US" w:eastAsia="zh-CN"/>
              </w:rPr>
              <w:t>抽查电工证：                    抽焊工证：</w:t>
            </w:r>
          </w:p>
          <w:p>
            <w:pPr>
              <w:pStyle w:val="15"/>
              <w:rPr>
                <w:rFonts w:hint="eastAsia"/>
                <w:lang w:val="en-US" w:eastAsia="zh-CN"/>
              </w:rPr>
            </w:pPr>
            <w:r>
              <w:rPr>
                <w:rFonts w:hint="default"/>
                <w:lang w:val="en-US" w:eastAsia="zh-CN"/>
              </w:rPr>
              <w:drawing>
                <wp:inline distT="0" distB="0" distL="114300" distR="114300">
                  <wp:extent cx="1349375" cy="1550670"/>
                  <wp:effectExtent l="0" t="0" r="9525" b="11430"/>
                  <wp:docPr id="39" name="图片 39" descr="2b54297c31bc36e55613d85de375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2b54297c31bc36e55613d85de375c83"/>
                          <pic:cNvPicPr>
                            <a:picLocks noChangeAspect="1"/>
                          </pic:cNvPicPr>
                        </pic:nvPicPr>
                        <pic:blipFill>
                          <a:blip r:embed="rId11"/>
                          <a:stretch>
                            <a:fillRect/>
                          </a:stretch>
                        </pic:blipFill>
                        <pic:spPr>
                          <a:xfrm>
                            <a:off x="0" y="0"/>
                            <a:ext cx="1349375" cy="155067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527175" cy="1484630"/>
                  <wp:effectExtent l="0" t="0" r="9525" b="1270"/>
                  <wp:docPr id="40" name="图片 40" descr="fe46f69b7a9b820439fbeb6538d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fe46f69b7a9b820439fbeb6538d6712"/>
                          <pic:cNvPicPr>
                            <a:picLocks noChangeAspect="1"/>
                          </pic:cNvPicPr>
                        </pic:nvPicPr>
                        <pic:blipFill>
                          <a:blip r:embed="rId12"/>
                          <a:stretch>
                            <a:fillRect/>
                          </a:stretch>
                        </pic:blipFill>
                        <pic:spPr>
                          <a:xfrm>
                            <a:off x="0" y="0"/>
                            <a:ext cx="1527175" cy="1484630"/>
                          </a:xfrm>
                          <a:prstGeom prst="rect">
                            <a:avLst/>
                          </a:prstGeom>
                        </pic:spPr>
                      </pic:pic>
                    </a:graphicData>
                  </a:graphic>
                </wp:inline>
              </w:drawing>
            </w:r>
            <w:r>
              <w:rPr>
                <w:rFonts w:hint="eastAsia"/>
                <w:lang w:val="en-US" w:eastAsia="zh-CN"/>
              </w:rPr>
              <w:t xml:space="preserve"> </w:t>
            </w:r>
          </w:p>
          <w:p>
            <w:pPr>
              <w:pStyle w:val="15"/>
              <w:rPr>
                <w:rFonts w:hint="default"/>
                <w:sz w:val="21"/>
                <w:szCs w:val="21"/>
                <w:lang w:val="en-US" w:eastAsia="zh-CN"/>
              </w:rPr>
            </w:pPr>
            <w:r>
              <w:rPr>
                <w:rFonts w:hint="eastAsia"/>
                <w:sz w:val="21"/>
                <w:szCs w:val="21"/>
                <w:lang w:val="en-US" w:eastAsia="zh-CN"/>
              </w:rPr>
              <w:t>人员资质符合要求。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自能源管理体系建立以来，在人员能力资质、培训、能源意识、信息交流等方面没有发生偏离标准的问题。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该部门要求员工照明灯不用时及时将电源关闭， 电脑不使用时及时将电源关闭，电脑设置休眠功能，夏天空调设置26度以上。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办公区张贴节约用电和节约用水的宣传标识。能够做到人走灯息、空调在26度以上。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自公司能源体系运行以来，该部门自能源管理体系运行以来未发生不符合。</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0"/>
              <w:ind w:left="-210" w:leftChars="0" w:firstLine="42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查阅公司2021年和2022年1-8月主要能源消费记录（水、电、天然气）：</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default"/>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2021年电消费：4181327.13元，水费：2123.06元；天然气费：1556266元；2022年1-8月：电：3474219.24元；水:137931.89元；1378456.01元。</w:t>
            </w:r>
          </w:p>
        </w:tc>
        <w:tc>
          <w:tcPr>
            <w:tcW w:w="1213" w:type="dxa"/>
          </w:tcPr>
          <w:p>
            <w:pPr>
              <w:rPr>
                <w:rFonts w:hint="eastAsia"/>
                <w:color w:val="000000" w:themeColor="text1"/>
                <w:lang w:val="en-US" w:eastAsia="zh-CN"/>
              </w:rPr>
            </w:pPr>
            <w:r>
              <w:rPr>
                <w:rFonts w:hint="eastAsia"/>
                <w:color w:val="000000" w:themeColor="text1"/>
                <w:lang w:val="en-US" w:eastAsia="zh-CN"/>
              </w:rPr>
              <w:t>Y</w:t>
            </w: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eastAsia"/>
                <w:color w:val="000000" w:themeColor="text1"/>
                <w:lang w:val="en-US" w:eastAsia="zh-CN"/>
              </w:rPr>
            </w:pPr>
          </w:p>
          <w:p>
            <w:pPr>
              <w:pStyle w:val="16"/>
              <w:rPr>
                <w:rFonts w:hint="default"/>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文件化信息</w:t>
            </w:r>
          </w:p>
        </w:tc>
        <w:tc>
          <w:tcPr>
            <w:tcW w:w="960" w:type="dxa"/>
            <w:vAlign w:val="top"/>
          </w:tcPr>
          <w:p>
            <w:pPr>
              <w:pStyle w:val="10"/>
              <w:ind w:left="0" w:leftChars="0" w:firstLine="0" w:firstLineChars="0"/>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7.5</w:t>
            </w:r>
          </w:p>
        </w:tc>
        <w:tc>
          <w:tcPr>
            <w:tcW w:w="10376"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1、</w:t>
            </w:r>
            <w:r>
              <w:rPr>
                <w:rFonts w:hint="eastAsia"/>
                <w:color w:val="000000" w:themeColor="text1"/>
                <w:sz w:val="21"/>
                <w:szCs w:val="21"/>
                <w:lang w:val="en-US" w:eastAsia="zh-CN"/>
              </w:rPr>
              <w:t>提供有《</w:t>
            </w:r>
            <w:r>
              <w:rPr>
                <w:rFonts w:hint="eastAsia"/>
                <w:sz w:val="21"/>
                <w:szCs w:val="21"/>
                <w:lang w:val="en-US" w:eastAsia="zh-CN"/>
              </w:rPr>
              <w:t>NYJS/NY CX-09-2022</w:t>
            </w:r>
            <w:r>
              <w:rPr>
                <w:rFonts w:hint="eastAsia"/>
                <w:color w:val="000000" w:themeColor="text1"/>
                <w:sz w:val="21"/>
                <w:szCs w:val="21"/>
                <w:lang w:val="en-US" w:eastAsia="zh-CN"/>
              </w:rPr>
              <w:t>文件控制程序》，经过编审批符合标准要求。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lang w:val="en-US" w:eastAsia="zh-CN"/>
              </w:rPr>
            </w:pPr>
            <w:r>
              <w:rPr>
                <w:rFonts w:hint="eastAsia"/>
                <w:color w:val="000000" w:themeColor="text1"/>
                <w:lang w:val="en-US" w:eastAsia="zh-CN"/>
              </w:rPr>
              <w:t>2、提供</w:t>
            </w:r>
            <w:r>
              <w:rPr>
                <w:rFonts w:hint="eastAsia"/>
                <w:color w:val="000000" w:themeColor="text1"/>
              </w:rPr>
              <w:t>文件化信息</w:t>
            </w:r>
            <w:r>
              <w:rPr>
                <w:rFonts w:hint="eastAsia"/>
                <w:color w:val="000000" w:themeColor="text1"/>
                <w:lang w:eastAsia="zh-CN"/>
              </w:rPr>
              <w:t>：</w:t>
            </w:r>
            <w:r>
              <w:rPr>
                <w:rFonts w:hint="eastAsia"/>
                <w:color w:val="000000" w:themeColor="text1"/>
                <w:lang w:val="en-US" w:eastAsia="zh-CN"/>
              </w:rPr>
              <w:t>《能源管理手册》文件编号：编 号：</w:t>
            </w:r>
            <w:r>
              <w:rPr>
                <w:rFonts w:hint="eastAsia" w:asciiTheme="minorEastAsia" w:hAnsiTheme="minorEastAsia" w:cstheme="minorEastAsia"/>
                <w:color w:val="000000"/>
                <w:sz w:val="21"/>
                <w:szCs w:val="21"/>
                <w:lang w:val="en-US" w:eastAsia="zh-CN"/>
              </w:rPr>
              <w:t>NYJS/NY SC-01-2022</w:t>
            </w:r>
            <w:r>
              <w:rPr>
                <w:rFonts w:hint="eastAsia"/>
                <w:color w:val="000000" w:themeColor="text1"/>
                <w:lang w:val="en-US" w:eastAsia="zh-CN"/>
              </w:rPr>
              <w:t>，版本号：A/0，生效日期：2022.1.10，制定：编写组，审 核：</w:t>
            </w:r>
            <w:r>
              <w:rPr>
                <w:rFonts w:hint="eastAsia" w:asciiTheme="minorEastAsia" w:hAnsiTheme="minorEastAsia" w:cstheme="minorEastAsia"/>
                <w:color w:val="000000"/>
                <w:sz w:val="21"/>
                <w:szCs w:val="21"/>
                <w:lang w:val="en-US" w:eastAsia="zh-CN"/>
              </w:rPr>
              <w:t>陆桂来</w:t>
            </w:r>
            <w:r>
              <w:rPr>
                <w:rFonts w:hint="eastAsia"/>
                <w:color w:val="000000" w:themeColor="text1"/>
                <w:sz w:val="21"/>
                <w:szCs w:val="21"/>
                <w:lang w:val="en-US" w:eastAsia="zh-CN"/>
              </w:rPr>
              <w:t>，批 准：</w:t>
            </w:r>
            <w:r>
              <w:rPr>
                <w:rFonts w:hint="eastAsia" w:asciiTheme="minorEastAsia" w:hAnsiTheme="minorEastAsia" w:cstheme="minorEastAsia"/>
                <w:color w:val="000000"/>
                <w:sz w:val="21"/>
                <w:szCs w:val="21"/>
                <w:lang w:val="en-US" w:eastAsia="zh-CN"/>
              </w:rPr>
              <w:t>姜广东</w:t>
            </w:r>
            <w:r>
              <w:rPr>
                <w:rFonts w:hint="eastAsia"/>
                <w:color w:val="000000" w:themeColor="text1"/>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hint="default"/>
                <w:b w:val="0"/>
                <w:bCs w:val="0"/>
                <w:i w:val="0"/>
                <w:iCs w:val="0"/>
                <w:color w:val="000000" w:themeColor="text1"/>
                <w:sz w:val="21"/>
                <w:szCs w:val="21"/>
                <w:highlight w:val="yellow"/>
                <w:u w:val="single"/>
                <w:lang w:val="en-US" w:eastAsia="zh-CN"/>
              </w:rPr>
            </w:pPr>
            <w:r>
              <w:rPr>
                <w:rFonts w:hint="eastAsia"/>
                <w:color w:val="000000" w:themeColor="text1"/>
                <w:lang w:val="en-US" w:eastAsia="zh-CN"/>
              </w:rPr>
              <w:t xml:space="preserve">  </w:t>
            </w:r>
            <w:r>
              <w:rPr>
                <w:rFonts w:hint="eastAsia" w:ascii="Times New Roman" w:hAnsi="Times New Roman" w:eastAsia="宋体" w:cs="Times New Roman"/>
                <w:bCs w:val="0"/>
                <w:color w:val="000000" w:themeColor="text1"/>
                <w:spacing w:val="0"/>
                <w:kern w:val="2"/>
                <w:sz w:val="21"/>
                <w:lang w:val="en-US" w:eastAsia="zh-CN" w:bidi="ar-SA"/>
              </w:rPr>
              <w:t xml:space="preserve"> </w:t>
            </w:r>
            <w:r>
              <w:rPr>
                <w:rFonts w:hint="eastAsia" w:ascii="Times New Roman" w:hAnsi="Times New Roman" w:eastAsia="宋体" w:cs="Times New Roman"/>
                <w:b w:val="0"/>
                <w:bCs w:val="0"/>
                <w:i w:val="0"/>
                <w:iCs w:val="0"/>
                <w:color w:val="000000" w:themeColor="text1"/>
                <w:spacing w:val="0"/>
                <w:kern w:val="2"/>
                <w:sz w:val="21"/>
                <w:highlight w:val="none"/>
                <w:u w:val="none"/>
                <w:lang w:val="en-US" w:eastAsia="zh-CN" w:bidi="ar-SA"/>
              </w:rPr>
              <w:t>公司《能源管理手册》中“5.3 组织的岗位、职责和权限”</w:t>
            </w:r>
            <w:r>
              <w:rPr>
                <w:rFonts w:hint="eastAsia" w:cs="Times New Roman"/>
                <w:b w:val="0"/>
                <w:bCs w:val="0"/>
                <w:i w:val="0"/>
                <w:iCs w:val="0"/>
                <w:color w:val="000000" w:themeColor="text1"/>
                <w:spacing w:val="0"/>
                <w:kern w:val="2"/>
                <w:sz w:val="21"/>
                <w:highlight w:val="none"/>
                <w:u w:val="none"/>
                <w:lang w:val="en-US" w:eastAsia="zh-CN" w:bidi="ar-SA"/>
              </w:rPr>
              <w:t>对部门的职责进行描述。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3、</w:t>
            </w:r>
            <w:r>
              <w:rPr>
                <w:rFonts w:hint="eastAsia"/>
                <w:color w:val="000000" w:themeColor="text1"/>
                <w:lang w:eastAsia="zh-CN"/>
              </w:rPr>
              <w:t>《</w:t>
            </w:r>
            <w:r>
              <w:rPr>
                <w:rFonts w:hint="eastAsia"/>
                <w:color w:val="000000" w:themeColor="text1"/>
                <w:lang w:val="en-US" w:eastAsia="zh-CN"/>
              </w:rPr>
              <w:t>程序文件</w:t>
            </w:r>
            <w:r>
              <w:rPr>
                <w:rFonts w:hint="eastAsia"/>
                <w:color w:val="000000" w:themeColor="text1"/>
                <w:lang w:eastAsia="zh-CN"/>
              </w:rPr>
              <w:t>》</w:t>
            </w:r>
            <w:r>
              <w:rPr>
                <w:rFonts w:hint="eastAsia"/>
                <w:color w:val="000000" w:themeColor="text1"/>
                <w:lang w:val="en-US" w:eastAsia="zh-CN"/>
              </w:rPr>
              <w:t>共25个，编号：</w:t>
            </w:r>
            <w:r>
              <w:rPr>
                <w:rFonts w:hint="eastAsia" w:ascii="宋体" w:hAnsi="宋体" w:eastAsia="宋体" w:cs="宋体"/>
                <w:sz w:val="21"/>
                <w:szCs w:val="21"/>
                <w:lang w:val="en-US" w:eastAsia="zh-CN"/>
              </w:rPr>
              <w:t>NYJS/NY CX</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01~25-</w:t>
            </w:r>
            <w:r>
              <w:rPr>
                <w:rFonts w:hint="eastAsia" w:ascii="宋体" w:hAnsi="宋体" w:eastAsia="宋体" w:cs="宋体"/>
                <w:color w:val="000000"/>
                <w:sz w:val="21"/>
                <w:szCs w:val="21"/>
                <w:highlight w:val="none"/>
                <w:lang w:eastAsia="zh-CN"/>
              </w:rPr>
              <w:t>2022</w:t>
            </w:r>
            <w:r>
              <w:rPr>
                <w:rFonts w:hint="eastAsia"/>
                <w:color w:val="000000" w:themeColor="text1"/>
                <w:lang w:val="en-US" w:eastAsia="zh-CN"/>
              </w:rPr>
              <w:t>，版本号：A/0，生效日期：2022.1.10，编 写：编写组，审 核：</w:t>
            </w:r>
            <w:r>
              <w:rPr>
                <w:rFonts w:hint="eastAsia" w:asciiTheme="minorEastAsia" w:hAnsiTheme="minorEastAsia" w:cstheme="minorEastAsia"/>
                <w:color w:val="000000"/>
                <w:sz w:val="21"/>
                <w:szCs w:val="21"/>
                <w:lang w:val="en-US" w:eastAsia="zh-CN"/>
              </w:rPr>
              <w:t>陆桂来</w:t>
            </w:r>
            <w:r>
              <w:rPr>
                <w:rFonts w:hint="eastAsia"/>
                <w:color w:val="000000" w:themeColor="text1"/>
                <w:sz w:val="21"/>
                <w:szCs w:val="21"/>
                <w:lang w:val="en-US" w:eastAsia="zh-CN"/>
              </w:rPr>
              <w:t>，批 准：</w:t>
            </w:r>
            <w:r>
              <w:rPr>
                <w:rFonts w:hint="eastAsia" w:asciiTheme="minorEastAsia" w:hAnsiTheme="minorEastAsia" w:cstheme="minorEastAsia"/>
                <w:color w:val="000000"/>
                <w:sz w:val="21"/>
                <w:szCs w:val="21"/>
                <w:lang w:val="en-US" w:eastAsia="zh-CN"/>
              </w:rPr>
              <w:t>姜广东</w:t>
            </w:r>
            <w:r>
              <w:rPr>
                <w:rFonts w:hint="eastAsia"/>
                <w:color w:val="000000" w:themeColor="text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4、能源管理制度，</w:t>
            </w:r>
            <w:r>
              <w:rPr>
                <w:rFonts w:hint="eastAsia"/>
                <w:color w:val="000000" w:themeColor="text1"/>
                <w:sz w:val="21"/>
                <w:szCs w:val="21"/>
                <w:lang w:val="en-US" w:eastAsia="zh-CN"/>
              </w:rPr>
              <w:t>《</w:t>
            </w:r>
            <w:r>
              <w:rPr>
                <w:rFonts w:hint="eastAsia" w:ascii="Times New Roman" w:hAnsi="Times New Roman"/>
                <w:kern w:val="2"/>
                <w:sz w:val="21"/>
                <w:szCs w:val="21"/>
              </w:rPr>
              <w:t>公司节能目标管理责任考核评价制度</w:t>
            </w:r>
            <w:r>
              <w:rPr>
                <w:rFonts w:hint="eastAsia"/>
                <w:color w:val="000000" w:themeColor="text1"/>
                <w:sz w:val="21"/>
                <w:szCs w:val="21"/>
                <w:lang w:val="en-US" w:eastAsia="zh-CN"/>
              </w:rPr>
              <w:t>》《</w:t>
            </w:r>
            <w:r>
              <w:rPr>
                <w:rFonts w:hint="eastAsia" w:ascii="Times New Roman" w:hAnsi="Times New Roman"/>
                <w:kern w:val="2"/>
                <w:sz w:val="21"/>
                <w:szCs w:val="21"/>
              </w:rPr>
              <w:t>公司节能管理岗位责任制度</w:t>
            </w:r>
            <w:r>
              <w:rPr>
                <w:rFonts w:hint="eastAsia"/>
                <w:color w:val="000000" w:themeColor="text1"/>
                <w:sz w:val="21"/>
                <w:szCs w:val="21"/>
                <w:lang w:val="en-US" w:eastAsia="zh-CN"/>
              </w:rPr>
              <w:t>》《</w:t>
            </w:r>
            <w:r>
              <w:rPr>
                <w:rFonts w:hint="eastAsia" w:ascii="Times New Roman" w:hAnsi="Times New Roman"/>
                <w:kern w:val="2"/>
                <w:sz w:val="21"/>
                <w:szCs w:val="21"/>
              </w:rPr>
              <w:t>公司节能奖惩管理制度</w:t>
            </w:r>
            <w:r>
              <w:rPr>
                <w:rFonts w:hint="eastAsia"/>
                <w:color w:val="000000" w:themeColor="text1"/>
                <w:sz w:val="21"/>
                <w:szCs w:val="21"/>
                <w:lang w:val="en-US" w:eastAsia="zh-CN"/>
              </w:rPr>
              <w:t>》《</w:t>
            </w:r>
            <w:r>
              <w:rPr>
                <w:rFonts w:hint="eastAsia" w:ascii="Times New Roman" w:hAnsi="Times New Roman"/>
                <w:kern w:val="2"/>
                <w:sz w:val="21"/>
                <w:szCs w:val="21"/>
              </w:rPr>
              <w:t>公司能源计量管理制度</w:t>
            </w:r>
            <w:r>
              <w:rPr>
                <w:rFonts w:hint="eastAsia"/>
                <w:color w:val="000000" w:themeColor="text1"/>
                <w:sz w:val="21"/>
                <w:szCs w:val="21"/>
                <w:lang w:val="en-US" w:eastAsia="zh-CN"/>
              </w:rPr>
              <w:t>》《</w:t>
            </w:r>
            <w:r>
              <w:rPr>
                <w:rFonts w:hint="eastAsia" w:ascii="Times New Roman" w:hAnsi="Times New Roman"/>
                <w:kern w:val="2"/>
                <w:sz w:val="21"/>
                <w:szCs w:val="21"/>
              </w:rPr>
              <w:t>公司能源消耗定额管理制度</w:t>
            </w:r>
            <w:r>
              <w:rPr>
                <w:rFonts w:hint="eastAsia"/>
                <w:color w:val="000000" w:themeColor="text1"/>
                <w:sz w:val="21"/>
                <w:szCs w:val="21"/>
                <w:lang w:val="en-US" w:eastAsia="zh-CN"/>
              </w:rPr>
              <w:t>》等</w:t>
            </w:r>
            <w:r>
              <w:rPr>
                <w:rFonts w:hint="eastAsia"/>
                <w:color w:val="000000" w:themeColor="text1"/>
                <w:lang w:val="en-US" w:eastAsia="zh-CN"/>
              </w:rPr>
              <w:t>，基本符合标准要求。</w:t>
            </w:r>
          </w:p>
          <w:p>
            <w:pPr>
              <w:ind w:firstLine="420"/>
              <w:rPr>
                <w:rFonts w:hint="default"/>
                <w:color w:val="000000" w:themeColor="text1"/>
                <w:lang w:val="en-US" w:eastAsia="zh-CN"/>
              </w:rPr>
            </w:pPr>
            <w:r>
              <w:rPr>
                <w:rFonts w:hint="eastAsia"/>
                <w:color w:val="000000" w:themeColor="text1"/>
                <w:lang w:val="en-US" w:eastAsia="zh-CN"/>
              </w:rPr>
              <w:t>5、提供《记录清单一览表》，基本符合标准要求。</w:t>
            </w:r>
          </w:p>
          <w:p>
            <w:pPr>
              <w:ind w:firstLine="420"/>
              <w:rPr>
                <w:rFonts w:hint="eastAsia"/>
                <w:color w:val="000000" w:themeColor="text1"/>
                <w:lang w:val="en-US" w:eastAsia="zh-CN"/>
              </w:rPr>
            </w:pPr>
            <w:r>
              <w:rPr>
                <w:rFonts w:hint="eastAsia"/>
                <w:color w:val="000000" w:themeColor="text1"/>
                <w:lang w:val="en-US" w:eastAsia="zh-CN"/>
              </w:rPr>
              <w:t>以上</w:t>
            </w:r>
            <w:r>
              <w:rPr>
                <w:rFonts w:hint="eastAsia"/>
                <w:color w:val="000000" w:themeColor="text1"/>
                <w:lang w:eastAsia="zh-CN"/>
              </w:rPr>
              <w:t>有发布，实施。有编审批。确保了其适宜性和充分性</w:t>
            </w:r>
            <w:r>
              <w:rPr>
                <w:rFonts w:hint="eastAsia"/>
                <w:color w:val="000000" w:themeColor="text1"/>
              </w:rPr>
              <w:t>。</w:t>
            </w:r>
          </w:p>
          <w:p>
            <w:pPr>
              <w:ind w:firstLine="420" w:firstLineChars="200"/>
              <w:rPr>
                <w:rFonts w:hint="eastAsia"/>
                <w:color w:val="000000" w:themeColor="text1"/>
                <w:lang w:val="en-US" w:eastAsia="zh-CN"/>
              </w:rPr>
            </w:pPr>
            <w:r>
              <w:rPr>
                <w:rFonts w:hint="eastAsia"/>
                <w:color w:val="000000" w:themeColor="text1"/>
                <w:lang w:val="en-US" w:eastAsia="zh-CN"/>
              </w:rPr>
              <w:t>6、查阅有相应的外来文件，包括法律法规及其它要求清单。</w:t>
            </w:r>
          </w:p>
          <w:p>
            <w:pPr>
              <w:pStyle w:val="10"/>
              <w:numPr>
                <w:ilvl w:val="0"/>
                <w:numId w:val="7"/>
              </w:numPr>
              <w:ind w:left="620" w:leftChars="0" w:firstLineChars="0"/>
              <w:rPr>
                <w:rFonts w:hint="eastAsia"/>
                <w:color w:val="000000" w:themeColor="text1"/>
                <w:lang w:val="en-US" w:eastAsia="zh-CN"/>
              </w:rPr>
            </w:pPr>
            <w:r>
              <w:rPr>
                <w:rFonts w:hint="eastAsia"/>
                <w:color w:val="000000" w:themeColor="text1"/>
                <w:lang w:val="en-US" w:eastAsia="zh-CN"/>
              </w:rPr>
              <w:t>查阅相应的文件收集、发放记录，基本符合标准要求。</w:t>
            </w:r>
          </w:p>
          <w:p>
            <w:pPr>
              <w:pStyle w:val="10"/>
              <w:numPr>
                <w:ilvl w:val="0"/>
                <w:numId w:val="0"/>
              </w:numPr>
              <w:rPr>
                <w:rFonts w:hint="default" w:asciiTheme="minorEastAsia" w:hAnsiTheme="minorEastAsia" w:eastAsiaTheme="minorEastAsia" w:cstheme="minorEastAsia"/>
                <w:b w:val="0"/>
                <w:bCs w:val="0"/>
                <w:i/>
                <w:iCs/>
                <w:color w:val="000000" w:themeColor="text1"/>
                <w:highlight w:val="none"/>
                <w:lang w:val="en-US" w:eastAsia="zh-CN"/>
              </w:rPr>
            </w:pPr>
            <w:r>
              <w:rPr>
                <w:rFonts w:hint="eastAsia" w:asciiTheme="minorEastAsia" w:hAnsiTheme="minorEastAsia" w:eastAsiaTheme="minorEastAsia" w:cstheme="minorEastAsia"/>
                <w:b w:val="0"/>
                <w:bCs w:val="0"/>
                <w:i w:val="0"/>
                <w:iCs w:val="0"/>
                <w:color w:val="000000" w:themeColor="text1"/>
                <w:highlight w:val="none"/>
                <w:lang w:val="en-US" w:eastAsia="zh-CN"/>
              </w:rPr>
              <w:t>提供了“能源管理手册”“程序文件”的文件发放记录，发放日期：2022.1.10，抽生产管理部签收人员</w:t>
            </w:r>
            <w:r>
              <w:rPr>
                <w:rFonts w:hint="eastAsia" w:eastAsiaTheme="minorEastAsia"/>
                <w:color w:val="000000"/>
                <w:szCs w:val="21"/>
                <w:lang w:val="en-US" w:eastAsia="zh-CN"/>
              </w:rPr>
              <w:t>郭啸</w:t>
            </w:r>
            <w:r>
              <w:rPr>
                <w:rFonts w:hint="eastAsia" w:asciiTheme="minorEastAsia" w:hAnsiTheme="minorEastAsia" w:eastAsiaTheme="minorEastAsia" w:cstheme="minorEastAsia"/>
                <w:b w:val="0"/>
                <w:bCs w:val="0"/>
                <w:i w:val="0"/>
                <w:iCs w:val="0"/>
                <w:color w:val="000000" w:themeColor="text1"/>
                <w:highlight w:val="none"/>
                <w:lang w:val="en-US" w:eastAsia="zh-CN"/>
              </w:rPr>
              <w:t>，经查符合要求。</w:t>
            </w:r>
          </w:p>
          <w:p>
            <w:pPr>
              <w:ind w:firstLine="420" w:firstLineChars="200"/>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8、查阅提供的体系文件都是现行有效的。</w:t>
            </w:r>
          </w:p>
          <w:p>
            <w:pPr>
              <w:pStyle w:val="3"/>
              <w:keepNext w:val="0"/>
              <w:keepLines w:val="0"/>
              <w:pageBreakBefore w:val="0"/>
              <w:widowControl w:val="0"/>
              <w:kinsoku/>
              <w:wordWrap/>
              <w:overflowPunct/>
              <w:topLinePunct w:val="0"/>
              <w:autoSpaceDE w:val="0"/>
              <w:autoSpaceDN w:val="0"/>
              <w:bidi w:val="0"/>
              <w:adjustRightInd/>
              <w:snapToGrid/>
              <w:spacing w:before="0"/>
              <w:ind w:left="0" w:leftChars="0" w:firstLine="420" w:firstLineChars="200"/>
              <w:jc w:val="both"/>
              <w:textAlignment w:val="auto"/>
              <w:rPr>
                <w:rFonts w:hint="default"/>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highlight w:val="none"/>
                <w:lang w:val="en-US" w:eastAsia="zh-CN"/>
              </w:rPr>
              <w:t>抽查部分记录清单：查看编号为：</w:t>
            </w:r>
            <w:r>
              <w:rPr>
                <w:rFonts w:hint="eastAsia" w:ascii="宋体" w:hAnsi="宋体" w:eastAsia="宋体" w:cs="宋体"/>
                <w:b w:val="0"/>
                <w:bCs w:val="0"/>
                <w:color w:val="000000" w:themeColor="text1"/>
                <w:sz w:val="21"/>
                <w:szCs w:val="21"/>
                <w:highlight w:val="none"/>
                <w:lang w:val="en-US" w:eastAsia="zh-CN"/>
              </w:rPr>
              <w:t>《</w:t>
            </w:r>
            <w:r>
              <w:rPr>
                <w:rFonts w:hint="eastAsia" w:ascii="宋体" w:hAnsi="宋体" w:eastAsia="宋体" w:cs="宋体"/>
                <w:color w:val="000000"/>
                <w:kern w:val="0"/>
                <w:sz w:val="21"/>
                <w:szCs w:val="21"/>
                <w:lang w:bidi="ar"/>
              </w:rPr>
              <w:t>文件发放回收登记表</w:t>
            </w:r>
            <w:r>
              <w:rPr>
                <w:rFonts w:hint="eastAsia" w:ascii="宋体" w:hAnsi="宋体" w:eastAsia="宋体" w:cs="宋体"/>
                <w:b w:val="0"/>
                <w:bCs w:val="0"/>
                <w:color w:val="000000" w:themeColor="text1"/>
                <w:sz w:val="21"/>
                <w:szCs w:val="21"/>
                <w:highlight w:val="none"/>
                <w:lang w:val="en-US" w:eastAsia="zh-CN"/>
              </w:rPr>
              <w:t>》</w:t>
            </w:r>
            <w:r>
              <w:rPr>
                <w:rFonts w:hint="eastAsia" w:asciiTheme="minorEastAsia" w:hAnsiTheme="minorEastAsia" w:eastAsiaTheme="minorEastAsia" w:cstheme="minorEastAsia"/>
                <w:b w:val="0"/>
                <w:bCs w:val="0"/>
                <w:color w:val="000000" w:themeColor="text1"/>
                <w:sz w:val="21"/>
                <w:szCs w:val="21"/>
                <w:highlight w:val="none"/>
                <w:lang w:val="en-US" w:eastAsia="zh-CN"/>
              </w:rPr>
              <w:t>，有效，经查符合要求。</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p>
            <w:pPr>
              <w:pStyle w:val="16"/>
              <w:rPr>
                <w:color w:val="000000" w:themeColor="text1"/>
              </w:rPr>
            </w:pPr>
          </w:p>
          <w:p>
            <w:pPr>
              <w:pStyle w:val="16"/>
              <w:rPr>
                <w:color w:val="000000" w:themeColor="text1"/>
              </w:rPr>
            </w:pPr>
          </w:p>
          <w:p>
            <w:pPr>
              <w:pStyle w:val="16"/>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3"/>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内部审核</w:t>
            </w:r>
          </w:p>
        </w:tc>
        <w:tc>
          <w:tcPr>
            <w:tcW w:w="960" w:type="dxa"/>
            <w:vAlign w:val="top"/>
          </w:tcPr>
          <w:p>
            <w:pPr>
              <w:pStyle w:val="10"/>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9.2</w:t>
            </w:r>
          </w:p>
        </w:tc>
        <w:tc>
          <w:tcPr>
            <w:tcW w:w="10376" w:type="dxa"/>
            <w:vAlign w:val="top"/>
          </w:tcPr>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240" w:lineRule="auto"/>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提供《</w:t>
            </w:r>
            <w:r>
              <w:rPr>
                <w:rFonts w:hint="eastAsia" w:asciiTheme="majorEastAsia" w:hAnsiTheme="majorEastAsia" w:eastAsiaTheme="majorEastAsia" w:cstheme="majorEastAsia"/>
                <w:sz w:val="21"/>
                <w:szCs w:val="21"/>
                <w:lang w:val="en-US" w:eastAsia="zh-CN"/>
              </w:rPr>
              <w:t>NYJS/NY CX-20-2022</w:t>
            </w:r>
            <w:r>
              <w:rPr>
                <w:rFonts w:hint="eastAsia" w:asciiTheme="minorEastAsia" w:hAnsiTheme="minorEastAsia" w:eastAsiaTheme="minorEastAsia" w:cstheme="minorEastAsia"/>
                <w:color w:val="000000" w:themeColor="text1"/>
                <w:sz w:val="21"/>
                <w:szCs w:val="21"/>
                <w:lang w:val="en-US" w:eastAsia="zh-CN"/>
              </w:rPr>
              <w:t>内部审核程序》，有编审批，符合标准要求与企业实际。</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480" w:left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2、提供有“内审计划”，公司与2022年7月5-6日进行了一次能源管理体系的内审。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受审对象：管理层、人力资源部、市场营销部、质量管理部、生产管理部等。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审核依据：ISO50001:2018《能源管理体系 要求》、法律法规、标准和其他要求、能源管理手册、能源程序文件及文件、记录等。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ajorEastAsia" w:hAnsiTheme="majorEastAsia" w:eastAsiaTheme="majorEastAsia" w:cstheme="maj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审核目的：评价公司能源管理体系运</w:t>
            </w:r>
            <w:r>
              <w:rPr>
                <w:rFonts w:hint="eastAsia" w:asciiTheme="majorEastAsia" w:hAnsiTheme="majorEastAsia" w:eastAsiaTheme="majorEastAsia" w:cstheme="majorEastAsia"/>
                <w:color w:val="000000" w:themeColor="text1"/>
                <w:sz w:val="21"/>
                <w:szCs w:val="21"/>
                <w:lang w:val="en-US" w:eastAsia="zh-CN"/>
              </w:rPr>
              <w:t>行的符合性、有效性，为管理评审提供输入；确定是否符合外部审核的条件。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ajorEastAsia" w:hAnsiTheme="majorEastAsia" w:eastAsiaTheme="majorEastAsia" w:cstheme="majorEastAsia"/>
                <w:color w:val="000000" w:themeColor="text1"/>
                <w:sz w:val="21"/>
                <w:szCs w:val="21"/>
                <w:lang w:val="en-US" w:eastAsia="zh-CN"/>
              </w:rPr>
            </w:pPr>
            <w:r>
              <w:rPr>
                <w:rFonts w:hint="eastAsia" w:asciiTheme="majorEastAsia" w:hAnsiTheme="majorEastAsia" w:eastAsiaTheme="majorEastAsia" w:cstheme="majorEastAsia"/>
                <w:color w:val="000000" w:themeColor="text1"/>
                <w:sz w:val="21"/>
                <w:szCs w:val="21"/>
                <w:lang w:val="en-US" w:eastAsia="zh-CN"/>
              </w:rPr>
              <w:t>审核范围: 位于：</w:t>
            </w:r>
            <w:bookmarkStart w:id="2" w:name="注册地址"/>
            <w:r>
              <w:rPr>
                <w:rFonts w:hint="eastAsia" w:asciiTheme="majorEastAsia" w:hAnsiTheme="majorEastAsia" w:eastAsiaTheme="majorEastAsia" w:cstheme="majorEastAsia"/>
                <w:sz w:val="21"/>
                <w:szCs w:val="21"/>
              </w:rPr>
              <w:t>南京市六合区龙池街道龙华西路9号</w:t>
            </w:r>
            <w:bookmarkEnd w:id="2"/>
            <w:r>
              <w:rPr>
                <w:rFonts w:hint="eastAsia" w:asciiTheme="majorEastAsia" w:hAnsiTheme="majorEastAsia" w:eastAsiaTheme="majorEastAsia" w:cstheme="majorEastAsia"/>
                <w:color w:val="000000" w:themeColor="text1"/>
                <w:sz w:val="21"/>
                <w:szCs w:val="21"/>
                <w:lang w:val="en-US" w:eastAsia="zh-CN"/>
              </w:rPr>
              <w:t>的</w:t>
            </w:r>
            <w:r>
              <w:rPr>
                <w:rFonts w:hint="eastAsia" w:asciiTheme="majorEastAsia" w:hAnsiTheme="majorEastAsia" w:eastAsiaTheme="majorEastAsia" w:cstheme="majorEastAsia"/>
                <w:sz w:val="21"/>
                <w:szCs w:val="21"/>
              </w:rPr>
              <w:t>中国能源建设集团南京线路器材有限公司</w:t>
            </w:r>
            <w:r>
              <w:rPr>
                <w:rFonts w:hint="eastAsia" w:asciiTheme="majorEastAsia" w:hAnsiTheme="majorEastAsia" w:eastAsiaTheme="majorEastAsia" w:cstheme="majorEastAsia"/>
                <w:color w:val="000000" w:themeColor="text1"/>
                <w:sz w:val="21"/>
                <w:szCs w:val="21"/>
                <w:lang w:val="en-US" w:eastAsia="zh-CN"/>
              </w:rPr>
              <w:t>的</w:t>
            </w:r>
            <w:r>
              <w:rPr>
                <w:rFonts w:hint="eastAsia" w:asciiTheme="majorEastAsia" w:hAnsiTheme="majorEastAsia" w:eastAsiaTheme="majorEastAsia" w:cstheme="majorEastAsia"/>
                <w:sz w:val="21"/>
                <w:szCs w:val="21"/>
                <w:highlight w:val="none"/>
              </w:rPr>
              <w:t>电力金具及电力线路附件生产所涉及的能源管理活动</w:t>
            </w:r>
            <w:r>
              <w:rPr>
                <w:rFonts w:hint="eastAsia" w:asciiTheme="majorEastAsia" w:hAnsiTheme="majorEastAsia" w:eastAsiaTheme="majorEastAsia" w:cstheme="majorEastAsia"/>
                <w:color w:val="000000" w:themeColor="text1"/>
                <w:sz w:val="21"/>
                <w:szCs w:val="21"/>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审核组成员：组长陆桂来,审核员郭啸。内审员均经过内审员培训。</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line="240" w:lineRule="auto"/>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提供能源内部审核首末次会议签到表，有生产管理部、质量管理部、人力资源部、市场营销部、总经理等相关人员签字：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 xml:space="preserve">  3、抽查对管理层的审核，内审员：A 2022.7.5 8:30-11:00，审核条款</w:t>
            </w:r>
            <w:r>
              <w:rPr>
                <w:rFonts w:hint="eastAsia" w:ascii="宋体" w:hAnsi="宋体" w:eastAsia="宋体" w:cs="宋体"/>
                <w:sz w:val="21"/>
                <w:szCs w:val="21"/>
                <w:lang w:val="en-US" w:eastAsia="zh-CN"/>
              </w:rPr>
              <w:t>4/5/6.1/6.2/6.3/6.4/6.5/9.3</w:t>
            </w:r>
            <w:r>
              <w:rPr>
                <w:rFonts w:hint="eastAsia" w:asciiTheme="minorEastAsia" w:hAnsiTheme="minorEastAsia" w:eastAsiaTheme="minorEastAsia" w:cstheme="minorEastAsia"/>
                <w:color w:val="000000" w:themeColor="text1"/>
                <w:sz w:val="21"/>
                <w:szCs w:val="21"/>
                <w:lang w:val="en-US" w:eastAsia="zh-CN"/>
              </w:rPr>
              <w:t>法律法规地位和有关资质证明，法规符合性确认；按照审核计划条款进行审核，基本符合标准要求。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5、</w:t>
            </w:r>
            <w:r>
              <w:rPr>
                <w:rFonts w:hint="eastAsia" w:asciiTheme="minorEastAsia" w:hAnsiTheme="minorEastAsia" w:eastAsiaTheme="minorEastAsia" w:cstheme="minorEastAsia"/>
                <w:color w:val="000000" w:themeColor="text1"/>
                <w:sz w:val="21"/>
                <w:szCs w:val="21"/>
                <w:highlight w:val="none"/>
                <w:lang w:val="en-US" w:eastAsia="zh-CN"/>
              </w:rPr>
              <w:t>内部审核发现1个不符合项，为一般不符合</w:t>
            </w:r>
            <w:r>
              <w:rPr>
                <w:rFonts w:hint="eastAsia" w:asciiTheme="minorEastAsia" w:hAnsiTheme="minorEastAsia" w:eastAsiaTheme="minorEastAsia" w:cstheme="minorEastAsia"/>
                <w:color w:val="000000" w:themeColor="text1"/>
                <w:sz w:val="21"/>
                <w:szCs w:val="21"/>
                <w:lang w:val="en-US" w:eastAsia="zh-CN"/>
              </w:rPr>
              <w:t>,有不符合事实，通过原因分析、纠正措施、现场纠正措施验证的方式得到解决；并且提供“培训记录表”、“效果评价表”。基本符合标准要求。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6、提供有“内审报告”，对体系的评价对能源管理体系的评价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sz w:val="21"/>
                <w:szCs w:val="21"/>
              </w:rPr>
              <w:t>就已审条款结果看，公司能源管理体系符合标准及相关文件的要求，能源管理体系得到了有效实施</w:t>
            </w:r>
            <w:r>
              <w:rPr>
                <w:rFonts w:hint="eastAsia" w:asciiTheme="minorEastAsia" w:hAnsiTheme="minorEastAsia" w:eastAsiaTheme="minorEastAsia" w:cstheme="minorEastAsia"/>
                <w:color w:val="000000" w:themeColor="text1"/>
                <w:sz w:val="21"/>
                <w:szCs w:val="21"/>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kern w:val="0"/>
                <w:sz w:val="21"/>
                <w:szCs w:val="21"/>
                <w:lang w:val="en-US" w:eastAsia="zh-CN" w:bidi="zh-CN"/>
              </w:rPr>
            </w:pPr>
            <w:r>
              <w:rPr>
                <w:rFonts w:hint="eastAsia" w:asciiTheme="minorEastAsia" w:hAnsiTheme="minorEastAsia" w:eastAsiaTheme="minorEastAsia" w:cstheme="minorEastAsia"/>
                <w:color w:val="000000" w:themeColor="text1"/>
                <w:sz w:val="21"/>
                <w:szCs w:val="21"/>
                <w:lang w:val="en-US" w:eastAsia="zh-CN"/>
              </w:rPr>
              <w:t>7、结论：公司能源管理体系符合：ISO50001:2018《能源管理体系 要求》、法律法规、标准和公司管理要求，运行基本有效。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left="0" w:leftChars="0" w:firstLine="0" w:firstLineChars="0"/>
              <w:jc w:val="both"/>
              <w:textAlignment w:val="auto"/>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能源及耗能设备的采购</w:t>
            </w:r>
          </w:p>
        </w:tc>
        <w:tc>
          <w:tcPr>
            <w:tcW w:w="960" w:type="dxa"/>
            <w:vAlign w:val="top"/>
          </w:tcPr>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left="0" w:leftChars="0" w:firstLine="0" w:firstLineChars="0"/>
              <w:jc w:val="both"/>
              <w:textAlignment w:val="auto"/>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8.3</w:t>
            </w:r>
          </w:p>
        </w:tc>
        <w:tc>
          <w:tcPr>
            <w:tcW w:w="10376" w:type="dxa"/>
            <w:vAlign w:val="top"/>
          </w:tcPr>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both"/>
              <w:textAlignment w:val="auto"/>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1、查阅能源采购合同，公司主要能源是电、水，由国家电网和自来水公司供应，公司不是主要用能大户没有签订框架合同，依据国家标准要求按照实际使用量缴纳费用，经查符合要求。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left="480" w:left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2、抽查采购计划</w:t>
            </w:r>
          </w:p>
          <w:p>
            <w:pPr>
              <w:pStyle w:val="4"/>
              <w:numPr>
                <w:ilvl w:val="0"/>
                <w:numId w:val="0"/>
              </w:numPr>
              <w:rPr>
                <w:rFonts w:hint="default"/>
                <w:lang w:val="en-US" w:eastAsia="zh-CN"/>
              </w:rPr>
            </w:pPr>
            <w:r>
              <w:rPr>
                <w:rFonts w:hint="eastAsia" w:asciiTheme="minorEastAsia" w:hAnsiTheme="minorEastAsia" w:eastAsiaTheme="minorEastAsia" w:cstheme="minorEastAsia"/>
                <w:color w:val="000000" w:themeColor="text1"/>
                <w:sz w:val="21"/>
                <w:szCs w:val="21"/>
                <w:lang w:val="en-US" w:eastAsia="zh-CN"/>
              </w:rPr>
              <w:t>公司材料、备件及设备等按月进行采购申报，提供2022年采购申报计划，</w:t>
            </w:r>
            <w:r>
              <w:rPr>
                <w:rFonts w:hint="eastAsia"/>
                <w:lang w:val="en-US" w:eastAsia="zh-CN"/>
              </w:rPr>
              <w:t>经查符合要求。</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提供合格供方名录，按照公司的管理制度进行评价出示的合格供方。进步符合公司管理实际与要求。</w:t>
            </w:r>
          </w:p>
          <w:p>
            <w:pPr>
              <w:pStyle w:val="4"/>
              <w:numPr>
                <w:ilvl w:val="0"/>
                <w:numId w:val="0"/>
              </w:numPr>
              <w:rPr>
                <w:rFonts w:hint="default"/>
                <w:lang w:val="en-US" w:eastAsia="zh-CN"/>
              </w:rPr>
            </w:pPr>
            <w:r>
              <w:rPr>
                <w:rFonts w:hint="eastAsia" w:asciiTheme="minorEastAsia" w:hAnsiTheme="minorEastAsia" w:eastAsiaTheme="minorEastAsia" w:cstheme="minorEastAsia"/>
                <w:color w:val="000000" w:themeColor="text1"/>
                <w:sz w:val="21"/>
                <w:szCs w:val="21"/>
                <w:lang w:val="en-US" w:eastAsia="zh-CN"/>
              </w:rPr>
              <w:t>抽查2022年合格供应商名单，有</w:t>
            </w:r>
            <w:r>
              <w:rPr>
                <w:rFonts w:hint="eastAsia" w:ascii="宋体" w:hAnsi="宋体" w:eastAsia="宋体" w:cs="宋体"/>
                <w:i w:val="0"/>
                <w:iCs w:val="0"/>
                <w:color w:val="000000"/>
                <w:kern w:val="0"/>
                <w:sz w:val="21"/>
                <w:szCs w:val="21"/>
                <w:u w:val="none"/>
                <w:lang w:val="en-US" w:eastAsia="zh-CN" w:bidi="ar"/>
              </w:rPr>
              <w:t>扬州洪顺电器有限公司</w:t>
            </w:r>
            <w:r>
              <w:rPr>
                <w:rFonts w:hint="eastAsia" w:asciiTheme="minorEastAsia" w:hAnsiTheme="minorEastAsia" w:eastAsiaTheme="minorEastAsia" w:cstheme="minorEastAsia"/>
                <w:color w:val="000000" w:themeColor="text1"/>
                <w:sz w:val="21"/>
                <w:szCs w:val="21"/>
                <w:lang w:val="en-US" w:eastAsia="zh-CN"/>
              </w:rPr>
              <w:t>（</w:t>
            </w:r>
            <w:r>
              <w:rPr>
                <w:rFonts w:hint="eastAsia" w:ascii="Times New Roman" w:hAnsi="Times New Roman"/>
                <w:sz w:val="21"/>
                <w:szCs w:val="21"/>
                <w:lang w:val="en-US" w:eastAsia="zh-CN"/>
              </w:rPr>
              <w:t>金具</w:t>
            </w:r>
            <w:r>
              <w:rPr>
                <w:rFonts w:hint="eastAsia" w:asciiTheme="minorEastAsia" w:hAnsiTheme="minorEastAsia" w:eastAsiaTheme="minorEastAsia" w:cstheme="minorEastAsia"/>
                <w:color w:val="000000" w:themeColor="text1"/>
                <w:sz w:val="21"/>
                <w:szCs w:val="21"/>
                <w:lang w:val="en-US" w:eastAsia="zh-CN"/>
              </w:rPr>
              <w:t>）、</w:t>
            </w:r>
            <w:r>
              <w:rPr>
                <w:rFonts w:hint="eastAsia" w:ascii="宋体" w:hAnsi="宋体" w:eastAsia="宋体" w:cs="宋体"/>
                <w:i w:val="0"/>
                <w:iCs w:val="0"/>
                <w:color w:val="000000"/>
                <w:kern w:val="0"/>
                <w:sz w:val="21"/>
                <w:szCs w:val="21"/>
                <w:u w:val="none"/>
                <w:lang w:val="en-US" w:eastAsia="zh-CN" w:bidi="ar"/>
              </w:rPr>
              <w:t>国电南瑞南京控制系统有限公司</w:t>
            </w:r>
            <w:r>
              <w:rPr>
                <w:rFonts w:hint="eastAsia" w:asciiTheme="minorEastAsia" w:hAnsiTheme="minorEastAsia" w:eastAsiaTheme="minorEastAsia" w:cstheme="minorEastAsia"/>
                <w:color w:val="000000" w:themeColor="text1"/>
                <w:sz w:val="21"/>
                <w:szCs w:val="21"/>
                <w:lang w:val="en-US" w:eastAsia="zh-CN"/>
              </w:rPr>
              <w:t>（</w:t>
            </w:r>
            <w:r>
              <w:rPr>
                <w:rFonts w:hint="eastAsia" w:ascii="Times New Roman" w:hAnsi="Times New Roman"/>
                <w:sz w:val="21"/>
                <w:szCs w:val="21"/>
                <w:lang w:val="en-US" w:eastAsia="zh-CN"/>
              </w:rPr>
              <w:t>电气系统</w:t>
            </w:r>
            <w:r>
              <w:rPr>
                <w:rFonts w:hint="eastAsia" w:asciiTheme="minorEastAsia" w:hAnsiTheme="minorEastAsia" w:eastAsiaTheme="minorEastAsia" w:cstheme="minorEastAsia"/>
                <w:color w:val="000000" w:themeColor="text1"/>
                <w:sz w:val="21"/>
                <w:szCs w:val="21"/>
                <w:lang w:val="en-US" w:eastAsia="zh-CN"/>
              </w:rPr>
              <w:t>）、</w:t>
            </w:r>
            <w:r>
              <w:rPr>
                <w:rFonts w:hint="eastAsia" w:ascii="宋体" w:hAnsi="宋体" w:eastAsia="宋体" w:cs="宋体"/>
                <w:i w:val="0"/>
                <w:iCs w:val="0"/>
                <w:color w:val="000000"/>
                <w:kern w:val="0"/>
                <w:sz w:val="21"/>
                <w:szCs w:val="21"/>
                <w:u w:val="none"/>
                <w:lang w:val="en-US" w:eastAsia="zh-CN" w:bidi="ar"/>
              </w:rPr>
              <w:t>江苏贝特尔电气有限公司</w:t>
            </w:r>
            <w:r>
              <w:rPr>
                <w:rFonts w:hint="eastAsia" w:asciiTheme="minorEastAsia" w:hAnsiTheme="minorEastAsia" w:eastAsiaTheme="minorEastAsia" w:cstheme="minorEastAsia"/>
                <w:color w:val="000000" w:themeColor="text1"/>
                <w:sz w:val="21"/>
                <w:szCs w:val="21"/>
                <w:lang w:val="en-US" w:eastAsia="zh-CN"/>
              </w:rPr>
              <w:t>（</w:t>
            </w:r>
            <w:r>
              <w:rPr>
                <w:rFonts w:hint="eastAsia" w:ascii="Times New Roman" w:hAnsi="Times New Roman"/>
                <w:sz w:val="21"/>
                <w:szCs w:val="21"/>
                <w:lang w:val="en-US" w:eastAsia="zh-CN"/>
              </w:rPr>
              <w:t>橡胶件</w:t>
            </w:r>
            <w:r>
              <w:rPr>
                <w:rFonts w:hint="eastAsia" w:asciiTheme="minorEastAsia" w:hAnsiTheme="minorEastAsia" w:eastAsiaTheme="minorEastAsia" w:cstheme="minorEastAsia"/>
                <w:color w:val="000000" w:themeColor="text1"/>
                <w:sz w:val="21"/>
                <w:szCs w:val="21"/>
                <w:lang w:val="en-US" w:eastAsia="zh-CN"/>
              </w:rPr>
              <w:t>）、</w:t>
            </w:r>
            <w:r>
              <w:rPr>
                <w:rFonts w:hint="eastAsia" w:ascii="宋体" w:hAnsi="宋体" w:eastAsia="宋体" w:cs="宋体"/>
                <w:i w:val="0"/>
                <w:iCs w:val="0"/>
                <w:color w:val="000000"/>
                <w:kern w:val="0"/>
                <w:sz w:val="21"/>
                <w:szCs w:val="21"/>
                <w:u w:val="none"/>
                <w:lang w:val="en-US" w:eastAsia="zh-CN" w:bidi="ar"/>
              </w:rPr>
              <w:t>辽宁华鑫达铝材有限公司</w:t>
            </w:r>
            <w:r>
              <w:rPr>
                <w:rFonts w:hint="eastAsia" w:asciiTheme="minorEastAsia" w:hAnsiTheme="minorEastAsia" w:eastAsiaTheme="minorEastAsia" w:cstheme="minorEastAsia"/>
                <w:color w:val="000000" w:themeColor="text1"/>
                <w:sz w:val="21"/>
                <w:szCs w:val="21"/>
                <w:lang w:val="en-US" w:eastAsia="zh-CN"/>
              </w:rPr>
              <w:t>（</w:t>
            </w:r>
            <w:r>
              <w:rPr>
                <w:rFonts w:hint="eastAsia" w:ascii="Times New Roman" w:hAnsi="Times New Roman"/>
                <w:sz w:val="21"/>
                <w:szCs w:val="21"/>
                <w:lang w:val="en-US" w:eastAsia="zh-CN"/>
              </w:rPr>
              <w:t>铝管</w:t>
            </w:r>
            <w:r>
              <w:rPr>
                <w:rFonts w:hint="eastAsia" w:asciiTheme="minorEastAsia" w:hAnsiTheme="minorEastAsia" w:eastAsiaTheme="minorEastAsia" w:cstheme="minorEastAsia"/>
                <w:color w:val="000000" w:themeColor="text1"/>
                <w:sz w:val="21"/>
                <w:szCs w:val="21"/>
                <w:lang w:val="en-US" w:eastAsia="zh-CN"/>
              </w:rPr>
              <w:t>）、</w:t>
            </w:r>
            <w:r>
              <w:rPr>
                <w:rFonts w:hint="eastAsia" w:ascii="宋体" w:hAnsi="宋体" w:eastAsia="宋体" w:cs="宋体"/>
                <w:i w:val="0"/>
                <w:iCs w:val="0"/>
                <w:color w:val="000000"/>
                <w:kern w:val="0"/>
                <w:sz w:val="21"/>
                <w:szCs w:val="21"/>
                <w:u w:val="none"/>
                <w:lang w:val="en-US" w:eastAsia="zh-CN" w:bidi="ar"/>
              </w:rPr>
              <w:t>马鞍山元丰金属有限公司</w:t>
            </w:r>
            <w:r>
              <w:rPr>
                <w:rFonts w:hint="eastAsia" w:asciiTheme="minorEastAsia" w:hAnsiTheme="minorEastAsia" w:eastAsiaTheme="minorEastAsia" w:cstheme="minorEastAsia"/>
                <w:color w:val="000000" w:themeColor="text1"/>
                <w:sz w:val="21"/>
                <w:szCs w:val="21"/>
                <w:lang w:val="en-US" w:eastAsia="zh-CN"/>
              </w:rPr>
              <w:t>（</w:t>
            </w:r>
            <w:r>
              <w:rPr>
                <w:rFonts w:hint="eastAsia" w:ascii="Times New Roman" w:hAnsi="Times New Roman"/>
                <w:sz w:val="21"/>
                <w:szCs w:val="21"/>
                <w:lang w:val="en-US" w:eastAsia="zh-CN"/>
              </w:rPr>
              <w:t>铝锭</w:t>
            </w:r>
            <w:r>
              <w:rPr>
                <w:rFonts w:hint="eastAsia" w:asciiTheme="minorEastAsia" w:hAnsiTheme="minorEastAsia" w:eastAsiaTheme="minorEastAsia" w:cstheme="minorEastAsia"/>
                <w:color w:val="000000" w:themeColor="text1"/>
                <w:sz w:val="21"/>
                <w:szCs w:val="21"/>
                <w:lang w:val="en-US" w:eastAsia="zh-CN"/>
              </w:rPr>
              <w:t>）等，评价批准人：</w:t>
            </w:r>
            <w:r>
              <w:rPr>
                <w:rFonts w:hint="eastAsia" w:asciiTheme="minorEastAsia" w:hAnsiTheme="minorEastAsia" w:eastAsiaTheme="minorEastAsia" w:cstheme="minorEastAsia"/>
                <w:color w:val="000000"/>
                <w:sz w:val="21"/>
                <w:szCs w:val="21"/>
                <w:lang w:val="en-US" w:eastAsia="zh-CN"/>
              </w:rPr>
              <w:t>陆桂来</w:t>
            </w:r>
            <w:r>
              <w:rPr>
                <w:rFonts w:hint="eastAsia" w:ascii="黑体" w:eastAsia="黑体"/>
                <w:color w:val="000000"/>
                <w:sz w:val="24"/>
              </w:rPr>
              <w:t xml:space="preserve"> </w:t>
            </w:r>
            <w:r>
              <w:rPr>
                <w:rFonts w:hint="eastAsia" w:asciiTheme="minorEastAsia" w:hAnsiTheme="minorEastAsia" w:eastAsiaTheme="minorEastAsia" w:cstheme="minorEastAsia"/>
                <w:color w:val="000000" w:themeColor="text1"/>
                <w:sz w:val="21"/>
                <w:szCs w:val="21"/>
                <w:lang w:val="en-US" w:eastAsia="zh-CN"/>
              </w:rPr>
              <w:t>，日期2022.1.2</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ind w:left="0" w:leftChars="0" w:firstLine="0" w:firstLineChars="0"/>
              <w:jc w:val="both"/>
              <w:textAlignment w:val="auto"/>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b w:val="0"/>
                <w:bCs w:val="0"/>
                <w:i w:val="0"/>
                <w:iCs w:val="0"/>
                <w:color w:val="000000" w:themeColor="text1"/>
                <w:sz w:val="21"/>
                <w:szCs w:val="21"/>
                <w:highlight w:val="none"/>
                <w:lang w:val="en-US" w:eastAsia="zh-CN"/>
              </w:rPr>
              <w:t>并通知合格供应商能源绩效是公司采购的评价标准之一，经查符合要求。</w:t>
            </w:r>
          </w:p>
        </w:tc>
        <w:tc>
          <w:tcPr>
            <w:tcW w:w="1213" w:type="dxa"/>
          </w:tcPr>
          <w:p>
            <w:pPr>
              <w:rPr>
                <w:rFonts w:hint="default"/>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rPr>
                <w:rFonts w:hint="eastAsia" w:asciiTheme="minorEastAsia" w:hAnsiTheme="minorEastAsia" w:eastAsiaTheme="minorEastAsia" w:cstheme="minorEastAsia"/>
                <w:color w:val="000000" w:themeColor="text1"/>
                <w:kern w:val="2"/>
                <w:sz w:val="21"/>
                <w:szCs w:val="21"/>
                <w:lang w:val="en-US" w:eastAsia="zh-CN" w:bidi="ar-SA"/>
              </w:rPr>
            </w:pPr>
            <w:r>
              <w:rPr>
                <w:rFonts w:hint="eastAsia"/>
              </w:rPr>
              <w:t>不符合与纠正措施</w:t>
            </w:r>
            <w:r>
              <w:rPr>
                <w:rFonts w:hint="eastAsia"/>
                <w:lang w:eastAsia="zh-CN"/>
              </w:rPr>
              <w:t>、</w:t>
            </w:r>
          </w:p>
        </w:tc>
        <w:tc>
          <w:tcPr>
            <w:tcW w:w="960" w:type="dxa"/>
            <w:vAlign w:val="top"/>
          </w:tcPr>
          <w:p>
            <w:pPr>
              <w:rPr>
                <w:rFonts w:hint="default" w:asciiTheme="minorEastAsia" w:hAnsiTheme="minorEastAsia" w:eastAsiaTheme="minorEastAsia" w:cstheme="minorEastAsia"/>
                <w:color w:val="000000" w:themeColor="text1"/>
                <w:sz w:val="21"/>
                <w:szCs w:val="21"/>
                <w:lang w:val="en-US" w:eastAsia="zh-CN"/>
              </w:rPr>
            </w:pPr>
            <w:r>
              <w:rPr>
                <w:rFonts w:hint="eastAsia"/>
                <w:lang w:val="en-US" w:eastAsia="zh-CN"/>
              </w:rPr>
              <w:t>10.1</w:t>
            </w:r>
          </w:p>
        </w:tc>
        <w:tc>
          <w:tcPr>
            <w:tcW w:w="10376" w:type="dxa"/>
            <w:vAlign w:val="top"/>
          </w:tcPr>
          <w:p>
            <w:pPr>
              <w:rPr>
                <w:rFonts w:hint="eastAsia"/>
                <w:lang w:eastAsia="zh-CN"/>
              </w:rPr>
            </w:pPr>
            <w:r>
              <w:rPr>
                <w:rFonts w:hint="eastAsia"/>
                <w:lang w:val="en-US" w:eastAsia="zh-CN"/>
              </w:rPr>
              <w:t>提供</w:t>
            </w:r>
            <w:r>
              <w:rPr>
                <w:rFonts w:hint="eastAsia"/>
                <w:lang w:eastAsia="zh-CN"/>
              </w:rPr>
              <w:t>“</w:t>
            </w:r>
            <w:r>
              <w:rPr>
                <w:rFonts w:hint="eastAsia"/>
              </w:rPr>
              <w:t>不符合及纠正措施控制程序</w:t>
            </w:r>
            <w:r>
              <w:rPr>
                <w:rFonts w:hint="eastAsia"/>
                <w:lang w:eastAsia="zh-CN"/>
              </w:rPr>
              <w:t>”</w:t>
            </w:r>
            <w:r>
              <w:rPr>
                <w:rFonts w:hint="eastAsia"/>
                <w:lang w:val="en-US" w:eastAsia="zh-CN"/>
              </w:rPr>
              <w:t>程序文件。</w:t>
            </w:r>
          </w:p>
          <w:p>
            <w:r>
              <w:rPr>
                <w:rFonts w:hint="eastAsia"/>
              </w:rPr>
              <w:t>不符合的来源：</w:t>
            </w:r>
          </w:p>
          <w:p>
            <w:pPr>
              <w:rPr>
                <w:rFonts w:hint="default" w:ascii="Times New Roman" w:hAnsi="Times New Roman" w:eastAsia="宋体" w:cs="Times New Roman"/>
                <w:color w:val="auto"/>
                <w:kern w:val="2"/>
                <w:sz w:val="21"/>
                <w:szCs w:val="22"/>
                <w:lang w:val="en-US" w:eastAsia="zh-CN" w:bidi="ar-SA"/>
              </w:rPr>
            </w:pPr>
            <w:r>
              <w:rPr/>
              <w:sym w:font="Wingdings" w:char="00A8"/>
            </w:r>
            <w:r>
              <w:rPr>
                <w:rFonts w:hint="eastAsia"/>
              </w:rPr>
              <w:t xml:space="preserve">顾客投诉   </w:t>
            </w:r>
            <w:r>
              <w:rPr>
                <w:rFonts w:hint="eastAsia"/>
              </w:rPr>
              <w:sym w:font="Wingdings" w:char="00A8"/>
            </w:r>
            <w:r>
              <w:rPr>
                <w:rFonts w:hint="eastAsia"/>
              </w:rPr>
              <w:t xml:space="preserve">能源消耗问题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lang w:eastAsia="zh-CN"/>
              </w:rPr>
              <w:t>——</w:t>
            </w:r>
            <w:r>
              <w:rPr>
                <w:rFonts w:hint="eastAsia"/>
                <w:color w:val="auto"/>
                <w:lang w:val="en-US" w:eastAsia="zh-CN"/>
              </w:rPr>
              <w:t>2</w:t>
            </w:r>
            <w:r>
              <w:rPr>
                <w:rFonts w:hint="eastAsia" w:ascii="Times New Roman" w:hAnsi="Times New Roman" w:eastAsia="宋体" w:cs="Times New Roman"/>
                <w:color w:val="auto"/>
                <w:kern w:val="2"/>
                <w:sz w:val="21"/>
                <w:szCs w:val="22"/>
                <w:lang w:val="en-US" w:eastAsia="zh-CN" w:bidi="ar-SA"/>
              </w:rPr>
              <w:t>022年7月</w:t>
            </w:r>
            <w:r>
              <w:rPr>
                <w:rFonts w:hint="eastAsia" w:cs="Times New Roman"/>
                <w:color w:val="auto"/>
                <w:kern w:val="2"/>
                <w:sz w:val="21"/>
                <w:szCs w:val="22"/>
                <w:lang w:val="en-US" w:eastAsia="zh-CN" w:bidi="ar-SA"/>
              </w:rPr>
              <w:t>5-6</w:t>
            </w:r>
            <w:r>
              <w:rPr>
                <w:rFonts w:hint="eastAsia" w:ascii="Times New Roman" w:hAnsi="Times New Roman" w:eastAsia="宋体" w:cs="Times New Roman"/>
                <w:color w:val="auto"/>
                <w:kern w:val="2"/>
                <w:sz w:val="21"/>
                <w:szCs w:val="22"/>
                <w:lang w:val="en-US" w:eastAsia="zh-CN" w:bidi="ar-SA"/>
              </w:rPr>
              <w:t>日组织的能源管理体系内审不符合。生产</w:t>
            </w:r>
            <w:r>
              <w:rPr>
                <w:rFonts w:hint="eastAsia" w:cs="Times New Roman"/>
                <w:color w:val="auto"/>
                <w:kern w:val="2"/>
                <w:sz w:val="21"/>
                <w:szCs w:val="22"/>
                <w:lang w:val="en-US" w:eastAsia="zh-CN" w:bidi="ar-SA"/>
              </w:rPr>
              <w:t>管理</w:t>
            </w:r>
            <w:r>
              <w:rPr>
                <w:rFonts w:hint="eastAsia" w:ascii="Times New Roman" w:hAnsi="Times New Roman" w:eastAsia="宋体" w:cs="Times New Roman"/>
                <w:color w:val="auto"/>
                <w:kern w:val="2"/>
                <w:sz w:val="21"/>
                <w:szCs w:val="22"/>
                <w:lang w:val="en-US" w:eastAsia="zh-CN" w:bidi="ar-SA"/>
              </w:rPr>
              <w:t>部有一项不符合已整改。</w:t>
            </w:r>
          </w:p>
          <w:p>
            <w:r>
              <w:rPr>
                <w:rFonts w:hint="eastAsia"/>
              </w:rPr>
              <w:t xml:space="preserve">抽查采取纠正措施相关记录名称：《 </w:t>
            </w:r>
            <w:r>
              <w:rPr>
                <w:rFonts w:hint="eastAsia"/>
                <w:lang w:val="en-US" w:eastAsia="zh-CN"/>
              </w:rPr>
              <w:t>不符合项报告</w:t>
            </w:r>
            <w:r>
              <w:rPr>
                <w:rFonts w:hint="eastAsia"/>
              </w:rPr>
              <w:t xml:space="preserve">》     </w:t>
            </w:r>
          </w:p>
          <w:p/>
          <w:tbl>
            <w:tblPr>
              <w:tblStyle w:val="13"/>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61"/>
              <w:gridCol w:w="1692"/>
              <w:gridCol w:w="1225"/>
              <w:gridCol w:w="199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961" w:type="dxa"/>
                </w:tcPr>
                <w:p>
                  <w:r>
                    <w:rPr>
                      <w:rFonts w:hint="eastAsia"/>
                    </w:rPr>
                    <w:t>不符合描述</w:t>
                  </w:r>
                </w:p>
              </w:tc>
              <w:tc>
                <w:tcPr>
                  <w:tcW w:w="1692" w:type="dxa"/>
                </w:tcPr>
                <w:p>
                  <w:r>
                    <w:rPr>
                      <w:rFonts w:hint="eastAsia"/>
                    </w:rPr>
                    <w:t>不符合纠正</w:t>
                  </w:r>
                </w:p>
              </w:tc>
              <w:tc>
                <w:tcPr>
                  <w:tcW w:w="1225" w:type="dxa"/>
                </w:tcPr>
                <w:p>
                  <w:r>
                    <w:rPr>
                      <w:rFonts w:hint="eastAsia"/>
                    </w:rPr>
                    <w:t>原因分析</w:t>
                  </w:r>
                </w:p>
              </w:tc>
              <w:tc>
                <w:tcPr>
                  <w:tcW w:w="1991" w:type="dxa"/>
                </w:tcPr>
                <w:p>
                  <w:r>
                    <w:rPr>
                      <w:rFonts w:hint="eastAsia"/>
                    </w:rPr>
                    <w:t>纠正措施</w:t>
                  </w:r>
                </w:p>
              </w:tc>
              <w:tc>
                <w:tcPr>
                  <w:tcW w:w="1400"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2022.7.</w:t>
                  </w:r>
                  <w:r>
                    <w:rPr>
                      <w:rFonts w:hint="eastAsia" w:cs="Times New Roman"/>
                      <w:color w:val="auto"/>
                      <w:kern w:val="2"/>
                      <w:sz w:val="21"/>
                      <w:szCs w:val="22"/>
                      <w:lang w:val="en-US" w:eastAsia="zh-CN" w:bidi="ar-SA"/>
                    </w:rPr>
                    <w:t>6</w:t>
                  </w:r>
                </w:p>
              </w:tc>
              <w:tc>
                <w:tcPr>
                  <w:tcW w:w="2961" w:type="dxa"/>
                </w:tcPr>
                <w:p>
                  <w:pPr>
                    <w:rPr>
                      <w:rFonts w:hint="eastAsia"/>
                      <w:szCs w:val="22"/>
                      <w:lang w:val="en-US" w:eastAsia="zh-CN"/>
                    </w:rPr>
                  </w:pPr>
                  <w:r>
                    <w:rPr>
                      <w:rFonts w:hint="eastAsia"/>
                      <w:szCs w:val="22"/>
                      <w:lang w:val="en-US" w:eastAsia="zh-CN"/>
                    </w:rPr>
                    <w:t>现场车间查看能源收集记录计划编制日期停留在2020年未见更新</w:t>
                  </w:r>
                  <w:r>
                    <w:rPr>
                      <w:rFonts w:hint="eastAsia"/>
                      <w:szCs w:val="22"/>
                    </w:rPr>
                    <w:t>。不符合GB/T23331-</w:t>
                  </w:r>
                  <w:r>
                    <w:rPr>
                      <w:rFonts w:hint="eastAsia"/>
                      <w:szCs w:val="22"/>
                      <w:lang w:val="en-US" w:eastAsia="zh-CN"/>
                    </w:rPr>
                    <w:t>2020</w:t>
                  </w:r>
                  <w:r>
                    <w:rPr>
                      <w:rFonts w:hint="eastAsia"/>
                      <w:szCs w:val="22"/>
                    </w:rPr>
                    <w:t>标准</w:t>
                  </w:r>
                  <w:r>
                    <w:rPr>
                      <w:rFonts w:hint="eastAsia"/>
                      <w:szCs w:val="22"/>
                      <w:lang w:val="en-US" w:eastAsia="zh-CN"/>
                    </w:rPr>
                    <w:t>6.6没有按照规定的时间间隔评审能源数据收集计划，适当时更新。</w:t>
                  </w:r>
                </w:p>
              </w:tc>
              <w:tc>
                <w:tcPr>
                  <w:tcW w:w="1692" w:type="dxa"/>
                </w:tcPr>
                <w:p>
                  <w:pPr>
                    <w:rPr>
                      <w:rFonts w:hint="default"/>
                      <w:szCs w:val="22"/>
                      <w:lang w:val="en-US" w:eastAsia="zh-CN"/>
                    </w:rPr>
                  </w:pPr>
                  <w:r>
                    <w:rPr>
                      <w:rFonts w:hint="eastAsia"/>
                      <w:szCs w:val="22"/>
                      <w:lang w:val="en-US" w:eastAsia="zh-CN"/>
                    </w:rPr>
                    <w:t>积极组织生产管理部门参加培训，更新新的能源收集计划，规定落实验收人员。</w:t>
                  </w:r>
                </w:p>
              </w:tc>
              <w:tc>
                <w:tcPr>
                  <w:tcW w:w="1225" w:type="dxa"/>
                </w:tcPr>
                <w:p>
                  <w:pPr>
                    <w:rPr>
                      <w:rFonts w:hint="eastAsia"/>
                      <w:szCs w:val="22"/>
                      <w:lang w:val="en-US" w:eastAsia="zh-CN"/>
                    </w:rPr>
                  </w:pPr>
                  <w:r>
                    <w:rPr>
                      <w:rFonts w:hint="eastAsia"/>
                      <w:szCs w:val="22"/>
                      <w:lang w:val="en-US" w:eastAsia="zh-CN"/>
                    </w:rPr>
                    <w:t>主要是没有理解标准6.6条款要求。</w:t>
                  </w:r>
                </w:p>
              </w:tc>
              <w:tc>
                <w:tcPr>
                  <w:tcW w:w="1991" w:type="dxa"/>
                </w:tcPr>
                <w:p>
                  <w:pPr>
                    <w:rPr>
                      <w:rFonts w:hint="eastAsia"/>
                      <w:szCs w:val="22"/>
                      <w:lang w:val="en-US" w:eastAsia="zh-CN"/>
                    </w:rPr>
                  </w:pPr>
                  <w:r>
                    <w:rPr>
                      <w:rFonts w:hint="eastAsia"/>
                      <w:szCs w:val="22"/>
                      <w:lang w:val="en-US" w:eastAsia="zh-CN"/>
                    </w:rPr>
                    <w:t>生产管理部</w:t>
                  </w:r>
                  <w:r>
                    <w:rPr>
                      <w:rFonts w:hint="eastAsia"/>
                      <w:szCs w:val="22"/>
                    </w:rPr>
                    <w:t>人员认真学习标准</w:t>
                  </w:r>
                  <w:r>
                    <w:rPr>
                      <w:rFonts w:hint="eastAsia"/>
                      <w:szCs w:val="22"/>
                      <w:lang w:val="en-US" w:eastAsia="zh-CN"/>
                    </w:rPr>
                    <w:t>6.6</w:t>
                  </w:r>
                  <w:r>
                    <w:rPr>
                      <w:rFonts w:hint="eastAsia"/>
                      <w:szCs w:val="22"/>
                    </w:rPr>
                    <w:t>条款要求，加深对条款内容的理解。保留培训记录</w:t>
                  </w:r>
                  <w:r>
                    <w:rPr>
                      <w:rFonts w:hint="eastAsia"/>
                      <w:szCs w:val="22"/>
                      <w:lang w:val="en-US" w:eastAsia="zh-CN"/>
                    </w:rPr>
                    <w:t>。</w:t>
                  </w:r>
                </w:p>
              </w:tc>
              <w:tc>
                <w:tcPr>
                  <w:tcW w:w="1400" w:type="dxa"/>
                </w:tcPr>
                <w:p>
                  <w:pPr>
                    <w:rPr>
                      <w:rFonts w:hint="eastAsia"/>
                      <w:szCs w:val="22"/>
                    </w:rPr>
                  </w:pPr>
                  <w:r>
                    <w:rPr>
                      <w:rFonts w:hint="eastAsia"/>
                      <w:szCs w:val="22"/>
                    </w:rPr>
                    <w:sym w:font="Wingdings" w:char="00FE"/>
                  </w:r>
                  <w:r>
                    <w:rPr>
                      <w:rFonts w:hint="eastAsia"/>
                      <w:szCs w:val="22"/>
                    </w:rPr>
                    <w:t>未再次发生</w:t>
                  </w:r>
                </w:p>
                <w:p>
                  <w:pPr>
                    <w:rPr>
                      <w:rFonts w:hint="eastAsia"/>
                      <w:szCs w:val="22"/>
                    </w:rPr>
                  </w:pPr>
                  <w:r>
                    <w:rPr>
                      <w:rFonts w:hint="eastAsia"/>
                      <w:szCs w:val="22"/>
                    </w:rPr>
                    <w:sym w:font="Wingdings" w:char="00A8"/>
                  </w:r>
                  <w:r>
                    <w:rPr>
                      <w:rFonts w:hint="eastAsia"/>
                      <w:szCs w:val="22"/>
                    </w:rPr>
                    <w:t>再次发生</w:t>
                  </w:r>
                </w:p>
              </w:tc>
            </w:tr>
          </w:tbl>
          <w:p>
            <w:pPr>
              <w:rPr>
                <w:lang w:val="en-US" w:eastAsia="zh-CN"/>
              </w:rPr>
            </w:pPr>
            <w:r>
              <w:rPr>
                <w:rFonts w:hint="eastAsia" w:cs="Times New Roman"/>
                <w:color w:val="auto"/>
                <w:kern w:val="2"/>
                <w:sz w:val="21"/>
                <w:szCs w:val="22"/>
                <w:lang w:val="en-US" w:eastAsia="zh-CN" w:bidi="ar-SA"/>
              </w:rPr>
              <w:t>生产管理部</w:t>
            </w:r>
            <w:r>
              <w:rPr>
                <w:rFonts w:hint="eastAsia" w:ascii="Times New Roman" w:hAnsi="Times New Roman" w:eastAsia="宋体" w:cs="Times New Roman"/>
                <w:color w:val="auto"/>
                <w:kern w:val="2"/>
                <w:sz w:val="21"/>
                <w:szCs w:val="22"/>
                <w:lang w:val="en-US" w:eastAsia="zh-CN" w:bidi="ar-SA"/>
              </w:rPr>
              <w:t>的日常考核每月进行，已实施。</w:t>
            </w:r>
          </w:p>
          <w:p>
            <w:pPr>
              <w:pStyle w:val="2"/>
              <w:ind w:left="0" w:leftChars="0" w:firstLine="0" w:firstLineChars="0"/>
              <w:rPr>
                <w:rFonts w:hint="default"/>
                <w:lang w:val="en-US" w:eastAsia="zh-CN"/>
              </w:rPr>
            </w:pPr>
            <w:r>
              <w:rPr>
                <w:rFonts w:hint="eastAsia" w:ascii="宋体" w:hAnsi="宋体" w:eastAsia="宋体" w:cs="宋体"/>
                <w:sz w:val="21"/>
                <w:szCs w:val="21"/>
                <w:lang w:val="en-US" w:eastAsia="zh-CN"/>
              </w:rPr>
              <w:t>经查符合要求。</w:t>
            </w:r>
          </w:p>
        </w:tc>
        <w:tc>
          <w:tcPr>
            <w:tcW w:w="1213" w:type="dxa"/>
          </w:tcPr>
          <w:p>
            <w:pPr>
              <w:rPr>
                <w:rFonts w:hint="eastAsia"/>
                <w:color w:val="000000" w:themeColor="text1"/>
                <w:lang w:val="en-US" w:eastAsia="zh-CN"/>
              </w:rPr>
            </w:pPr>
          </w:p>
        </w:tc>
      </w:tr>
    </w:tbl>
    <w:p>
      <w:pPr>
        <w:pStyle w:val="8"/>
        <w:rPr>
          <w:rFonts w:hint="eastAsia"/>
          <w:color w:val="000000" w:themeColor="text1"/>
        </w:rPr>
      </w:pPr>
    </w:p>
    <w:p>
      <w:pPr>
        <w:pStyle w:val="8"/>
        <w:rPr>
          <w:rFonts w:hint="eastAsia"/>
          <w:color w:val="000000" w:themeColor="text1"/>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866"/>
        <w:gridCol w:w="667"/>
        <w:gridCol w:w="958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47"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866"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247" w:type="dxa"/>
            <w:gridSpan w:val="2"/>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市场营销部</w:t>
            </w:r>
            <w:r>
              <w:rPr>
                <w:sz w:val="21"/>
                <w:szCs w:val="21"/>
              </w:rPr>
              <w:t xml:space="preserve"> </w:t>
            </w:r>
            <w:r>
              <w:rPr>
                <w:rFonts w:hint="eastAsia"/>
                <w:sz w:val="21"/>
                <w:szCs w:val="21"/>
                <w:lang w:val="en-US" w:eastAsia="zh-CN"/>
              </w:rPr>
              <w:t xml:space="preserve">             主管领导：</w:t>
            </w:r>
            <w:r>
              <w:rPr>
                <w:rFonts w:hint="eastAsia"/>
                <w:sz w:val="21"/>
                <w:szCs w:val="21"/>
                <w:highlight w:val="none"/>
                <w:lang w:val="en-US" w:eastAsia="zh-CN"/>
              </w:rPr>
              <w:t>陈伏珠</w:t>
            </w:r>
            <w:r>
              <w:rPr>
                <w:sz w:val="21"/>
                <w:szCs w:val="21"/>
                <w:highlight w:val="none"/>
              </w:rPr>
              <w:t xml:space="preserve">  </w:t>
            </w:r>
            <w:r>
              <w:rPr>
                <w:sz w:val="21"/>
                <w:szCs w:val="21"/>
              </w:rPr>
              <w:t xml:space="preserve">       </w:t>
            </w:r>
            <w:r>
              <w:rPr>
                <w:rFonts w:hint="eastAsia"/>
                <w:sz w:val="21"/>
                <w:szCs w:val="21"/>
              </w:rPr>
              <w:t>陪同人员：</w:t>
            </w:r>
            <w:r>
              <w:rPr>
                <w:rFonts w:hint="eastAsia"/>
                <w:sz w:val="21"/>
                <w:szCs w:val="21"/>
                <w:highlight w:val="none"/>
                <w:lang w:val="en-US" w:eastAsia="zh-CN"/>
              </w:rPr>
              <w:t>张泽宇</w:t>
            </w:r>
          </w:p>
        </w:tc>
        <w:tc>
          <w:tcPr>
            <w:tcW w:w="131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947" w:type="dxa"/>
            <w:vMerge w:val="continue"/>
            <w:vAlign w:val="center"/>
          </w:tcPr>
          <w:p>
            <w:pPr>
              <w:rPr>
                <w:sz w:val="21"/>
                <w:szCs w:val="21"/>
              </w:rPr>
            </w:pPr>
          </w:p>
        </w:tc>
        <w:tc>
          <w:tcPr>
            <w:tcW w:w="866" w:type="dxa"/>
            <w:vMerge w:val="continue"/>
            <w:vAlign w:val="center"/>
          </w:tcPr>
          <w:p>
            <w:pPr>
              <w:rPr>
                <w:sz w:val="21"/>
                <w:szCs w:val="21"/>
              </w:rPr>
            </w:pPr>
          </w:p>
        </w:tc>
        <w:tc>
          <w:tcPr>
            <w:tcW w:w="10247" w:type="dxa"/>
            <w:gridSpan w:val="2"/>
            <w:vAlign w:val="center"/>
          </w:tcPr>
          <w:p>
            <w:pPr>
              <w:spacing w:before="120"/>
              <w:rPr>
                <w:rFonts w:hint="eastAsia"/>
                <w:sz w:val="21"/>
                <w:szCs w:val="21"/>
                <w:lang w:val="en-US" w:eastAsia="zh-CN"/>
              </w:rPr>
            </w:pPr>
            <w:r>
              <w:rPr>
                <w:rFonts w:hint="eastAsia"/>
                <w:sz w:val="21"/>
                <w:szCs w:val="21"/>
              </w:rPr>
              <w:t xml:space="preserve">审核员： </w:t>
            </w:r>
            <w:r>
              <w:rPr>
                <w:rFonts w:hint="eastAsia"/>
                <w:sz w:val="21"/>
                <w:szCs w:val="21"/>
                <w:lang w:val="en-US" w:eastAsia="zh-CN"/>
              </w:rPr>
              <w:t>范玲玲(远程）</w:t>
            </w:r>
            <w:r>
              <w:rPr>
                <w:sz w:val="21"/>
                <w:szCs w:val="21"/>
              </w:rPr>
              <w:t xml:space="preserve">  </w:t>
            </w:r>
            <w:r>
              <w:rPr>
                <w:rFonts w:hint="eastAsia"/>
                <w:sz w:val="21"/>
                <w:szCs w:val="21"/>
                <w:lang w:val="en-US" w:eastAsia="zh-CN"/>
              </w:rPr>
              <w:t>采用微信、腾讯会议、文件传输等方式实施审核</w:t>
            </w:r>
          </w:p>
          <w:p>
            <w:pPr>
              <w:spacing w:before="120"/>
              <w:rPr>
                <w:rFonts w:hint="default" w:eastAsia="宋体"/>
                <w:sz w:val="21"/>
                <w:szCs w:val="21"/>
                <w:lang w:val="en-US" w:eastAsia="zh-CN"/>
              </w:rPr>
            </w:pPr>
            <w:r>
              <w:rPr>
                <w:rFonts w:hint="eastAsia"/>
                <w:sz w:val="21"/>
                <w:szCs w:val="21"/>
              </w:rPr>
              <w:t>审核</w:t>
            </w:r>
            <w:r>
              <w:rPr>
                <w:rFonts w:hint="eastAsia"/>
                <w:sz w:val="21"/>
                <w:szCs w:val="21"/>
                <w:lang w:val="en-US" w:eastAsia="zh-CN"/>
              </w:rPr>
              <w:t>日期</w:t>
            </w:r>
            <w:r>
              <w:rPr>
                <w:rFonts w:hint="eastAsia"/>
                <w:sz w:val="21"/>
                <w:szCs w:val="21"/>
              </w:rPr>
              <w:t>：</w:t>
            </w:r>
            <w:r>
              <w:rPr>
                <w:rFonts w:hint="eastAsia"/>
                <w:sz w:val="21"/>
                <w:szCs w:val="21"/>
                <w:lang w:val="en-US" w:eastAsia="zh-CN"/>
              </w:rPr>
              <w:t>2022-09-20上午</w:t>
            </w:r>
          </w:p>
        </w:tc>
        <w:tc>
          <w:tcPr>
            <w:tcW w:w="13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47" w:type="dxa"/>
            <w:vMerge w:val="continue"/>
            <w:vAlign w:val="center"/>
          </w:tcPr>
          <w:p>
            <w:pPr>
              <w:rPr>
                <w:sz w:val="21"/>
                <w:szCs w:val="21"/>
              </w:rPr>
            </w:pPr>
          </w:p>
        </w:tc>
        <w:tc>
          <w:tcPr>
            <w:tcW w:w="866" w:type="dxa"/>
            <w:vMerge w:val="continue"/>
            <w:vAlign w:val="center"/>
          </w:tcPr>
          <w:p>
            <w:pPr>
              <w:rPr>
                <w:sz w:val="21"/>
                <w:szCs w:val="21"/>
              </w:rPr>
            </w:pPr>
          </w:p>
        </w:tc>
        <w:tc>
          <w:tcPr>
            <w:tcW w:w="10247" w:type="dxa"/>
            <w:gridSpan w:val="2"/>
            <w:vAlign w:val="center"/>
          </w:tcPr>
          <w:p>
            <w:pPr>
              <w:rPr>
                <w:rFonts w:hint="default"/>
                <w:sz w:val="21"/>
                <w:szCs w:val="21"/>
                <w:lang w:val="en-US"/>
              </w:rPr>
            </w:pPr>
            <w:r>
              <w:rPr>
                <w:rFonts w:hint="eastAsia" w:ascii="Times New Roman" w:hAnsi="Times New Roman" w:eastAsia="宋体" w:cs="Times New Roman"/>
                <w:sz w:val="21"/>
                <w:szCs w:val="21"/>
                <w:lang w:val="en-US" w:eastAsia="zh-CN"/>
              </w:rPr>
              <w:t>审核条款：  En:5.3/6.2/8.1</w:t>
            </w:r>
            <w:r>
              <w:rPr>
                <w:rFonts w:hint="eastAsia" w:eastAsia="宋体" w:cs="Times New Roman"/>
                <w:sz w:val="21"/>
                <w:szCs w:val="21"/>
                <w:lang w:val="en-US" w:eastAsia="zh-CN"/>
              </w:rPr>
              <w:t>/10.1</w:t>
            </w:r>
          </w:p>
        </w:tc>
        <w:tc>
          <w:tcPr>
            <w:tcW w:w="13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trPr>
        <w:tc>
          <w:tcPr>
            <w:tcW w:w="1947" w:type="dxa"/>
            <w:vAlign w:val="top"/>
          </w:tcPr>
          <w:p>
            <w:pPr>
              <w:rPr>
                <w:rFonts w:hint="eastAsia"/>
                <w:color w:val="000000" w:themeColor="text1"/>
                <w:sz w:val="21"/>
                <w:szCs w:val="21"/>
                <w:highlight w:val="none"/>
                <w:lang w:val="en-US" w:eastAsia="zh-CN"/>
              </w:rPr>
            </w:pPr>
          </w:p>
          <w:p>
            <w:pPr>
              <w:rPr>
                <w:rFonts w:hint="eastAsia"/>
                <w:color w:val="000000" w:themeColor="text1"/>
                <w:sz w:val="21"/>
                <w:szCs w:val="21"/>
                <w:highlight w:val="none"/>
                <w:lang w:val="en-US" w:eastAsia="zh-CN"/>
              </w:rPr>
            </w:pPr>
          </w:p>
          <w:p>
            <w:pPr>
              <w:rPr>
                <w:rFonts w:hint="eastAsia" w:ascii="Times New Roman" w:hAnsi="Times New Roman" w:eastAsia="宋体" w:cs="Times New Roman"/>
                <w:color w:val="000000" w:themeColor="text1"/>
                <w:kern w:val="2"/>
                <w:sz w:val="21"/>
                <w:highlight w:val="none"/>
                <w:lang w:val="en-US" w:eastAsia="zh-CN" w:bidi="ar-SA"/>
              </w:rPr>
            </w:pPr>
            <w:r>
              <w:rPr>
                <w:rFonts w:hint="eastAsia"/>
                <w:color w:val="000000" w:themeColor="text1"/>
                <w:sz w:val="21"/>
                <w:szCs w:val="21"/>
                <w:highlight w:val="none"/>
                <w:lang w:val="en-US" w:eastAsia="zh-CN"/>
              </w:rPr>
              <w:t>本部门能源职责权限</w:t>
            </w:r>
          </w:p>
        </w:tc>
        <w:tc>
          <w:tcPr>
            <w:tcW w:w="866" w:type="dxa"/>
            <w:vAlign w:val="top"/>
          </w:tcPr>
          <w:p>
            <w:pPr>
              <w:pStyle w:val="16"/>
              <w:rPr>
                <w:rFonts w:hint="default" w:ascii="Times New Roman" w:hAnsi="Times New Roman" w:eastAsia="宋体" w:cs="Times New Roman"/>
                <w:bCs/>
                <w:color w:val="000000" w:themeColor="text1"/>
                <w:spacing w:val="10"/>
                <w:kern w:val="2"/>
                <w:sz w:val="21"/>
                <w:highlight w:val="none"/>
                <w:lang w:val="en-US" w:eastAsia="zh-CN" w:bidi="ar-SA"/>
              </w:rPr>
            </w:pPr>
            <w:r>
              <w:rPr>
                <w:rFonts w:hint="eastAsia"/>
                <w:color w:val="000000" w:themeColor="text1"/>
                <w:highlight w:val="none"/>
                <w:lang w:val="en-US" w:eastAsia="zh-CN"/>
              </w:rPr>
              <w:t>En：5.3</w:t>
            </w:r>
          </w:p>
        </w:tc>
        <w:tc>
          <w:tcPr>
            <w:tcW w:w="10247"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rPr>
              <w:t xml:space="preserve"> </w:t>
            </w:r>
            <w:r>
              <w:rPr>
                <w:rFonts w:hint="eastAsia"/>
                <w:lang w:val="en-US" w:eastAsia="zh-CN"/>
              </w:rPr>
              <w:t>该部门负责人是：陈伏珠，该</w:t>
            </w:r>
            <w:r>
              <w:rPr>
                <w:rFonts w:hint="eastAsia"/>
              </w:rPr>
              <w:t>部门共有</w:t>
            </w:r>
            <w:r>
              <w:rPr>
                <w:rFonts w:hint="eastAsia"/>
                <w:lang w:val="en-US" w:eastAsia="zh-CN"/>
              </w:rPr>
              <w:t xml:space="preserve"> 12</w:t>
            </w:r>
            <w:r>
              <w:rPr>
                <w:rFonts w:hint="eastAsia"/>
              </w:rPr>
              <w:t>人，设</w:t>
            </w:r>
            <w:r>
              <w:rPr>
                <w:rFonts w:hint="eastAsia"/>
                <w:lang w:val="en-US" w:eastAsia="zh-CN"/>
              </w:rPr>
              <w:t>经理</w:t>
            </w:r>
            <w:r>
              <w:rPr>
                <w:rFonts w:hint="eastAsia"/>
              </w:rPr>
              <w:t>岗位</w:t>
            </w:r>
            <w:r>
              <w:rPr>
                <w:rFonts w:hint="eastAsia"/>
                <w:lang w:val="en-US" w:eastAsia="zh-CN"/>
              </w:rPr>
              <w:t>和市场销售岗位。</w:t>
            </w:r>
          </w:p>
          <w:p>
            <w:pPr>
              <w:pStyle w:val="15"/>
              <w:rPr>
                <w:rFonts w:hint="eastAsia" w:eastAsia="宋体"/>
                <w:lang w:val="en-US" w:eastAsia="zh-CN"/>
              </w:rPr>
            </w:pPr>
            <w:r>
              <w:rPr>
                <w:rFonts w:hint="eastAsia"/>
              </w:rPr>
              <w:drawing>
                <wp:inline distT="0" distB="0" distL="114300" distR="114300">
                  <wp:extent cx="1423035" cy="1499870"/>
                  <wp:effectExtent l="0" t="0" r="12065" b="11430"/>
                  <wp:docPr id="34" name="图片 34" descr="1663558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63558274(1)"/>
                          <pic:cNvPicPr>
                            <a:picLocks noChangeAspect="1"/>
                          </pic:cNvPicPr>
                        </pic:nvPicPr>
                        <pic:blipFill>
                          <a:blip r:embed="rId13"/>
                          <a:stretch>
                            <a:fillRect/>
                          </a:stretch>
                        </pic:blipFill>
                        <pic:spPr>
                          <a:xfrm>
                            <a:off x="0" y="0"/>
                            <a:ext cx="1423035" cy="1499870"/>
                          </a:xfrm>
                          <a:prstGeom prst="rect">
                            <a:avLst/>
                          </a:prstGeom>
                        </pic:spPr>
                      </pic:pic>
                    </a:graphicData>
                  </a:graphic>
                </wp:inline>
              </w:drawing>
            </w:r>
            <w:r>
              <w:rPr>
                <w:rFonts w:hint="eastAsia" w:eastAsia="宋体"/>
                <w:lang w:val="en-US" w:eastAsia="zh-CN"/>
              </w:rPr>
              <w:t xml:space="preserve"> </w:t>
            </w:r>
          </w:p>
          <w:p>
            <w:pPr>
              <w:keepNext w:val="0"/>
              <w:keepLines w:val="0"/>
              <w:widowControl/>
              <w:suppressLineNumbers w:val="0"/>
              <w:ind w:firstLine="420" w:firstLineChars="200"/>
              <w:jc w:val="left"/>
            </w:pPr>
            <w:r>
              <w:rPr>
                <w:rFonts w:hint="eastAsia"/>
                <w:lang w:val="en-US" w:eastAsia="zh-CN"/>
              </w:rPr>
              <w:t xml:space="preserve">该部门的主要职责有：制订年度国内销售计划，落实年度销售目标； 提供产品样本、宣传企业和产品、接待客户、做好售前服务； 组织合同评审、对内销合同的质量负责； 负责内销项目的报价、制作投标文件；销售合同（含改造合同）处理，按合同履行要求提出投产建议， 并控制交货期进度，提出发货指令；定期对内销合同的统计及来访客户的统计； </w:t>
            </w:r>
          </w:p>
          <w:p>
            <w:pPr>
              <w:keepNext w:val="0"/>
              <w:keepLines w:val="0"/>
              <w:widowControl/>
              <w:suppressLineNumbers w:val="0"/>
              <w:jc w:val="left"/>
            </w:pPr>
            <w:r>
              <w:rPr>
                <w:rFonts w:hint="eastAsia"/>
                <w:lang w:val="en-US" w:eastAsia="zh-CN"/>
              </w:rPr>
              <w:t xml:space="preserve">建立客户档案，反馈用户信息，管理客户资料；按合同回收货款、并做好应收款管理工作； </w:t>
            </w:r>
          </w:p>
          <w:p>
            <w:pPr>
              <w:keepNext w:val="0"/>
              <w:keepLines w:val="0"/>
              <w:widowControl/>
              <w:suppressLineNumbers w:val="0"/>
              <w:jc w:val="left"/>
            </w:pPr>
            <w:r>
              <w:rPr>
                <w:rFonts w:hint="eastAsia"/>
                <w:lang w:val="en-US" w:eastAsia="zh-CN"/>
              </w:rPr>
              <w:t xml:space="preserve">实施对国内销售网点（代理商）业务支持指导和管理； 制定与调整产品内销价格； </w:t>
            </w:r>
          </w:p>
          <w:p>
            <w:pPr>
              <w:keepNext w:val="0"/>
              <w:keepLines w:val="0"/>
              <w:widowControl/>
              <w:suppressLineNumbers w:val="0"/>
              <w:jc w:val="left"/>
              <w:rPr>
                <w:rFonts w:hint="eastAsia"/>
                <w:lang w:eastAsia="zh-CN"/>
              </w:rPr>
            </w:pPr>
            <w:r>
              <w:rPr>
                <w:rFonts w:hint="eastAsia"/>
                <w:lang w:val="en-US" w:eastAsia="zh-CN"/>
              </w:rPr>
              <w:t xml:space="preserve">做好本部门 </w:t>
            </w:r>
            <w:r>
              <w:rPr>
                <w:rFonts w:hint="default"/>
                <w:lang w:val="en-US" w:eastAsia="zh-CN"/>
              </w:rPr>
              <w:t xml:space="preserve">5S </w:t>
            </w:r>
            <w:r>
              <w:rPr>
                <w:rFonts w:hint="eastAsia"/>
                <w:lang w:val="en-US" w:eastAsia="zh-CN"/>
              </w:rPr>
              <w:t>和安全管理工作； 做好上级交办的其他工作等。</w:t>
            </w:r>
          </w:p>
          <w:p>
            <w:pPr>
              <w:keepNext w:val="0"/>
              <w:keepLines w:val="0"/>
              <w:widowControl/>
              <w:suppressLineNumbers w:val="0"/>
              <w:jc w:val="left"/>
              <w:rPr>
                <w:rFonts w:hint="default"/>
                <w:lang w:val="en-US" w:eastAsia="zh-CN"/>
              </w:rPr>
            </w:pPr>
            <w:r>
              <w:rPr>
                <w:rFonts w:hint="eastAsia"/>
              </w:rPr>
              <w:t>出示有部门职责规定及岗位职责规定，内容基本符合要求。</w:t>
            </w:r>
          </w:p>
        </w:tc>
        <w:tc>
          <w:tcPr>
            <w:tcW w:w="1318" w:type="dxa"/>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47" w:type="dxa"/>
            <w:vMerge w:val="restart"/>
            <w:shd w:val="clear" w:color="auto" w:fill="auto"/>
          </w:tcPr>
          <w:p>
            <w:pPr>
              <w:rPr>
                <w:color w:val="000000"/>
                <w:szCs w:val="21"/>
                <w:highlight w:val="none"/>
              </w:rPr>
            </w:pPr>
            <w:r>
              <w:rPr>
                <w:rFonts w:hint="eastAsia"/>
                <w:color w:val="000000"/>
                <w:szCs w:val="21"/>
                <w:highlight w:val="none"/>
              </w:rPr>
              <w:t>管理目标及其实现的策划</w:t>
            </w:r>
          </w:p>
          <w:p>
            <w:pPr>
              <w:rPr>
                <w:highlight w:val="none"/>
              </w:rPr>
            </w:pPr>
          </w:p>
        </w:tc>
        <w:tc>
          <w:tcPr>
            <w:tcW w:w="866" w:type="dxa"/>
            <w:vMerge w:val="restart"/>
            <w:shd w:val="clear" w:color="auto" w:fill="auto"/>
          </w:tcPr>
          <w:p>
            <w:pPr>
              <w:pStyle w:val="16"/>
              <w:rPr>
                <w:rFonts w:hint="eastAsia"/>
                <w:color w:val="000000"/>
                <w:szCs w:val="21"/>
                <w:highlight w:val="none"/>
              </w:rPr>
            </w:pPr>
            <w:r>
              <w:rPr>
                <w:rFonts w:hint="eastAsia"/>
                <w:color w:val="000000"/>
                <w:szCs w:val="21"/>
                <w:highlight w:val="none"/>
                <w:lang w:val="en-US" w:eastAsia="zh-CN"/>
              </w:rPr>
              <w:t>En</w:t>
            </w:r>
            <w:r>
              <w:rPr>
                <w:rFonts w:hint="eastAsia"/>
                <w:color w:val="000000"/>
                <w:szCs w:val="21"/>
                <w:highlight w:val="none"/>
              </w:rPr>
              <w:t>6.2</w:t>
            </w:r>
          </w:p>
          <w:p>
            <w:pPr>
              <w:pStyle w:val="16"/>
              <w:rPr>
                <w:rFonts w:hint="default" w:eastAsia="宋体"/>
                <w:color w:val="000000"/>
                <w:szCs w:val="21"/>
                <w:highlight w:val="none"/>
                <w:lang w:val="en-US" w:eastAsia="zh-CN"/>
              </w:rPr>
            </w:pPr>
          </w:p>
        </w:tc>
        <w:tc>
          <w:tcPr>
            <w:tcW w:w="667" w:type="dxa"/>
            <w:shd w:val="clear" w:color="auto" w:fill="auto"/>
            <w:vAlign w:val="top"/>
          </w:tcPr>
          <w:p>
            <w:pPr>
              <w:rPr>
                <w:highlight w:val="none"/>
              </w:rPr>
            </w:pPr>
            <w:r>
              <w:rPr>
                <w:rFonts w:hint="eastAsia"/>
              </w:rPr>
              <w:t>文件名称</w:t>
            </w:r>
          </w:p>
        </w:tc>
        <w:tc>
          <w:tcPr>
            <w:tcW w:w="9580" w:type="dxa"/>
            <w:shd w:val="clear" w:color="auto" w:fill="auto"/>
            <w:vAlign w:val="top"/>
          </w:tcPr>
          <w:p>
            <w:pPr>
              <w:rPr>
                <w:highlight w:val="non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eastAsia="宋体" w:cs="宋体"/>
                <w:sz w:val="21"/>
                <w:szCs w:val="21"/>
                <w:lang w:val="en-US" w:eastAsia="zh-CN"/>
              </w:rPr>
              <w:t>目标、指标的制定控制程序</w:t>
            </w:r>
            <w:r>
              <w:rPr>
                <w:rFonts w:hint="eastAsia"/>
              </w:rPr>
              <w:t>》</w:t>
            </w:r>
          </w:p>
        </w:tc>
        <w:tc>
          <w:tcPr>
            <w:tcW w:w="1318"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1947" w:type="dxa"/>
            <w:vMerge w:val="continue"/>
            <w:shd w:val="clear" w:color="auto" w:fill="auto"/>
          </w:tcPr>
          <w:p>
            <w:pPr>
              <w:rPr>
                <w:highlight w:val="none"/>
              </w:rPr>
            </w:pPr>
          </w:p>
        </w:tc>
        <w:tc>
          <w:tcPr>
            <w:tcW w:w="866" w:type="dxa"/>
            <w:vMerge w:val="continue"/>
            <w:shd w:val="clear" w:color="auto" w:fill="auto"/>
          </w:tcPr>
          <w:p>
            <w:pPr>
              <w:rPr>
                <w:highlight w:val="none"/>
              </w:rPr>
            </w:pPr>
          </w:p>
        </w:tc>
        <w:tc>
          <w:tcPr>
            <w:tcW w:w="667" w:type="dxa"/>
            <w:shd w:val="clear" w:color="auto" w:fill="auto"/>
          </w:tcPr>
          <w:p>
            <w:pPr>
              <w:rPr>
                <w:highlight w:val="none"/>
              </w:rPr>
            </w:pPr>
            <w:r>
              <w:rPr>
                <w:rFonts w:hint="eastAsia"/>
                <w:highlight w:val="none"/>
              </w:rPr>
              <w:t>运行证据</w:t>
            </w:r>
          </w:p>
        </w:tc>
        <w:tc>
          <w:tcPr>
            <w:tcW w:w="9580" w:type="dxa"/>
            <w:shd w:val="clear" w:color="auto" w:fill="auto"/>
          </w:tcPr>
          <w:p>
            <w:pPr>
              <w:rPr>
                <w:highlight w:val="none"/>
              </w:rPr>
            </w:pPr>
            <w:r>
              <w:rPr>
                <w:rFonts w:hint="eastAsia"/>
                <w:highlight w:val="none"/>
              </w:rPr>
              <w:t>组织建立了与方针一致的文件化的管理目标。为实现总管理目标而建立的各层级目标具体、有针对性、可测量并且可实现。</w:t>
            </w:r>
          </w:p>
          <w:p>
            <w:pPr>
              <w:rPr>
                <w:highlight w:val="none"/>
              </w:rPr>
            </w:pPr>
            <w:r>
              <w:rPr>
                <w:rFonts w:hint="eastAsia"/>
                <w:highlight w:val="none"/>
                <w:lang w:val="en-US" w:eastAsia="zh-CN"/>
              </w:rPr>
              <w:t>该</w:t>
            </w:r>
            <w:r>
              <w:rPr>
                <w:rFonts w:hint="eastAsia"/>
                <w:highlight w:val="none"/>
              </w:rPr>
              <w:t>部门分解目标实现情况的评价，及其测量方法是：</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1169"/>
              <w:gridCol w:w="345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3" w:type="pct"/>
                  <w:vAlign w:val="center"/>
                </w:tcPr>
                <w:p>
                  <w:pPr>
                    <w:spacing w:line="500" w:lineRule="exact"/>
                    <w:jc w:val="left"/>
                    <w:rPr>
                      <w:sz w:val="18"/>
                      <w:szCs w:val="18"/>
                      <w:highlight w:val="none"/>
                    </w:rPr>
                  </w:pPr>
                  <w:r>
                    <w:rPr>
                      <w:rFonts w:hint="eastAsia"/>
                      <w:sz w:val="18"/>
                      <w:szCs w:val="18"/>
                      <w:highlight w:val="none"/>
                    </w:rPr>
                    <w:t>目标和指标</w:t>
                  </w:r>
                </w:p>
              </w:tc>
              <w:tc>
                <w:tcPr>
                  <w:tcW w:w="625" w:type="pct"/>
                  <w:vAlign w:val="center"/>
                </w:tcPr>
                <w:p>
                  <w:pPr>
                    <w:jc w:val="center"/>
                    <w:rPr>
                      <w:rFonts w:ascii="宋体" w:hAnsi="宋体"/>
                      <w:sz w:val="18"/>
                      <w:szCs w:val="18"/>
                      <w:highlight w:val="none"/>
                    </w:rPr>
                  </w:pPr>
                  <w:r>
                    <w:rPr>
                      <w:rFonts w:hint="eastAsia" w:ascii="宋体" w:hAnsi="宋体"/>
                      <w:sz w:val="18"/>
                      <w:szCs w:val="18"/>
                      <w:highlight w:val="none"/>
                    </w:rPr>
                    <w:t>考核频次</w:t>
                  </w:r>
                </w:p>
              </w:tc>
              <w:tc>
                <w:tcPr>
                  <w:tcW w:w="1847" w:type="pct"/>
                  <w:vAlign w:val="center"/>
                </w:tcPr>
                <w:p>
                  <w:pPr>
                    <w:jc w:val="center"/>
                    <w:rPr>
                      <w:rFonts w:ascii="宋体" w:hAnsi="宋体"/>
                      <w:sz w:val="18"/>
                      <w:szCs w:val="18"/>
                      <w:highlight w:val="none"/>
                    </w:rPr>
                  </w:pPr>
                  <w:r>
                    <w:rPr>
                      <w:rFonts w:hint="eastAsia" w:ascii="宋体" w:hAnsi="宋体"/>
                      <w:sz w:val="18"/>
                      <w:szCs w:val="18"/>
                      <w:highlight w:val="none"/>
                    </w:rPr>
                    <w:t>考核方式</w:t>
                  </w:r>
                </w:p>
              </w:tc>
              <w:tc>
                <w:tcPr>
                  <w:tcW w:w="1323" w:type="pct"/>
                  <w:vAlign w:val="center"/>
                </w:tcPr>
                <w:p>
                  <w:pPr>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审核周期（</w:t>
                  </w:r>
                  <w:r>
                    <w:rPr>
                      <w:rFonts w:hint="eastAsia" w:ascii="宋体" w:hAnsi="宋体"/>
                      <w:color w:val="000000"/>
                      <w:kern w:val="0"/>
                      <w:szCs w:val="21"/>
                      <w:highlight w:val="none"/>
                      <w:lang w:eastAsia="zh-CN"/>
                    </w:rPr>
                    <w:t>202</w:t>
                  </w:r>
                  <w:r>
                    <w:rPr>
                      <w:rFonts w:hint="eastAsia" w:ascii="宋体" w:hAnsi="宋体"/>
                      <w:color w:val="000000"/>
                      <w:kern w:val="0"/>
                      <w:szCs w:val="21"/>
                      <w:highlight w:val="none"/>
                      <w:lang w:val="en-US" w:eastAsia="zh-CN"/>
                    </w:rPr>
                    <w:t>2</w:t>
                  </w:r>
                  <w:r>
                    <w:rPr>
                      <w:rFonts w:hint="eastAsia" w:ascii="宋体" w:hAnsi="宋体"/>
                      <w:color w:val="000000"/>
                      <w:kern w:val="0"/>
                      <w:szCs w:val="21"/>
                      <w:highlight w:val="none"/>
                      <w:lang w:eastAsia="zh-CN"/>
                    </w:rPr>
                    <w:t>.1-2022.</w:t>
                  </w:r>
                  <w:r>
                    <w:rPr>
                      <w:rFonts w:hint="eastAsia" w:ascii="宋体" w:hAnsi="宋体"/>
                      <w:color w:val="000000"/>
                      <w:kern w:val="0"/>
                      <w:szCs w:val="21"/>
                      <w:highlight w:val="none"/>
                      <w:lang w:val="en-US" w:eastAsia="zh-CN"/>
                    </w:rPr>
                    <w:t>8</w:t>
                  </w:r>
                  <w:r>
                    <w:rPr>
                      <w:rFonts w:hint="eastAsia" w:ascii="宋体" w:hAnsi="宋体"/>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3" w:type="pct"/>
                  <w:vAlign w:val="center"/>
                </w:tcPr>
                <w:p>
                  <w:pPr>
                    <w:widowControl/>
                    <w:jc w:val="left"/>
                    <w:rPr>
                      <w:rFonts w:hint="default" w:ascii="宋体" w:hAnsi="宋体" w:eastAsia="宋体" w:cs="宋体"/>
                      <w:color w:val="000000"/>
                      <w:kern w:val="0"/>
                      <w:sz w:val="21"/>
                      <w:szCs w:val="21"/>
                      <w:lang w:val="en-US" w:eastAsia="zh-CN" w:bidi="ar-SA"/>
                    </w:rPr>
                  </w:pPr>
                  <w:r>
                    <w:rPr>
                      <w:rFonts w:hint="eastAsia" w:ascii="宋体" w:hAnsi="宋体"/>
                      <w:sz w:val="21"/>
                      <w:szCs w:val="21"/>
                    </w:rPr>
                    <w:t>员工培训覆盖率</w:t>
                  </w:r>
                  <w:r>
                    <w:rPr>
                      <w:rFonts w:hint="eastAsia" w:ascii="宋体" w:hAnsi="宋体"/>
                      <w:sz w:val="21"/>
                      <w:szCs w:val="21"/>
                      <w:lang w:val="en-US" w:eastAsia="zh-CN"/>
                    </w:rPr>
                    <w:t>100%</w:t>
                  </w:r>
                </w:p>
              </w:tc>
              <w:tc>
                <w:tcPr>
                  <w:tcW w:w="625" w:type="pct"/>
                  <w:vAlign w:val="center"/>
                </w:tcPr>
                <w:p>
                  <w:pPr>
                    <w:jc w:val="center"/>
                    <w:rPr>
                      <w:rFonts w:ascii="宋体" w:hAnsi="宋体"/>
                      <w:sz w:val="18"/>
                      <w:szCs w:val="18"/>
                      <w:highlight w:val="none"/>
                    </w:rPr>
                  </w:pPr>
                  <w:r>
                    <w:rPr>
                      <w:rFonts w:hint="eastAsia" w:ascii="宋体" w:hAnsi="宋体"/>
                      <w:color w:val="000000"/>
                      <w:kern w:val="0"/>
                      <w:szCs w:val="21"/>
                      <w:highlight w:val="none"/>
                      <w:lang w:val="en-US" w:eastAsia="zh-CN"/>
                    </w:rPr>
                    <w:t>每月</w:t>
                  </w:r>
                </w:p>
              </w:tc>
              <w:tc>
                <w:tcPr>
                  <w:tcW w:w="1847" w:type="pct"/>
                  <w:vAlign w:val="center"/>
                </w:tcPr>
                <w:p>
                  <w:pPr>
                    <w:widowControl/>
                    <w:jc w:val="left"/>
                    <w:rPr>
                      <w:rFonts w:ascii="宋体" w:hAnsi="宋体"/>
                      <w:sz w:val="18"/>
                      <w:szCs w:val="18"/>
                      <w:highlight w:val="none"/>
                    </w:rPr>
                  </w:pPr>
                  <w:r>
                    <w:rPr>
                      <w:rFonts w:hint="eastAsia" w:ascii="宋体" w:hAnsi="宋体" w:eastAsia="宋体" w:cs="宋体"/>
                      <w:color w:val="000000"/>
                      <w:kern w:val="0"/>
                      <w:szCs w:val="21"/>
                    </w:rPr>
                    <w:t>每月参照《</w:t>
                  </w:r>
                  <w:r>
                    <w:rPr>
                      <w:rFonts w:hint="eastAsia" w:ascii="宋体" w:hAnsi="宋体" w:eastAsia="宋体" w:cs="宋体"/>
                      <w:sz w:val="21"/>
                      <w:szCs w:val="21"/>
                      <w:lang w:val="en-US" w:eastAsia="zh-CN"/>
                    </w:rPr>
                    <w:t>能力、意识和培训控制程序</w:t>
                  </w:r>
                  <w:r>
                    <w:rPr>
                      <w:rFonts w:hint="eastAsia" w:ascii="宋体" w:hAnsi="宋体" w:eastAsia="宋体" w:cs="宋体"/>
                      <w:color w:val="000000"/>
                      <w:kern w:val="0"/>
                      <w:sz w:val="21"/>
                      <w:szCs w:val="21"/>
                    </w:rPr>
                    <w:t>》</w:t>
                  </w:r>
                  <w:r>
                    <w:rPr>
                      <w:rFonts w:hint="eastAsia" w:ascii="宋体" w:hAnsi="宋体" w:eastAsia="宋体" w:cs="宋体"/>
                      <w:color w:val="000000"/>
                      <w:kern w:val="0"/>
                      <w:szCs w:val="21"/>
                    </w:rPr>
                    <w:t>执行</w:t>
                  </w:r>
                </w:p>
              </w:tc>
              <w:tc>
                <w:tcPr>
                  <w:tcW w:w="1323" w:type="pct"/>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 xml:space="preserve">  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3" w:type="pct"/>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sz w:val="21"/>
                      <w:szCs w:val="21"/>
                      <w:lang w:val="en-US" w:eastAsia="zh-CN"/>
                    </w:rPr>
                    <w:t>日常</w:t>
                  </w:r>
                  <w:r>
                    <w:rPr>
                      <w:rFonts w:hint="eastAsia" w:ascii="宋体" w:hAnsi="宋体"/>
                      <w:sz w:val="21"/>
                      <w:szCs w:val="21"/>
                    </w:rPr>
                    <w:t>节约用电</w:t>
                  </w:r>
                </w:p>
              </w:tc>
              <w:tc>
                <w:tcPr>
                  <w:tcW w:w="625" w:type="pct"/>
                  <w:vAlign w:val="center"/>
                </w:tcPr>
                <w:p>
                  <w:pPr>
                    <w:jc w:val="center"/>
                    <w:rPr>
                      <w:rFonts w:ascii="宋体" w:hAnsi="宋体"/>
                      <w:sz w:val="18"/>
                      <w:szCs w:val="18"/>
                      <w:highlight w:val="none"/>
                    </w:rPr>
                  </w:pPr>
                  <w:r>
                    <w:rPr>
                      <w:rFonts w:hint="eastAsia" w:ascii="宋体" w:hAnsi="宋体"/>
                      <w:color w:val="000000"/>
                      <w:kern w:val="0"/>
                      <w:szCs w:val="21"/>
                      <w:highlight w:val="none"/>
                      <w:lang w:val="en-US" w:eastAsia="zh-CN"/>
                    </w:rPr>
                    <w:t>每月</w:t>
                  </w:r>
                </w:p>
              </w:tc>
              <w:tc>
                <w:tcPr>
                  <w:tcW w:w="1847" w:type="pct"/>
                  <w:vAlign w:val="center"/>
                </w:tcPr>
                <w:p>
                  <w:pPr>
                    <w:widowControl/>
                    <w:jc w:val="left"/>
                    <w:rPr>
                      <w:rFonts w:ascii="宋体" w:hAnsi="宋体"/>
                      <w:sz w:val="18"/>
                      <w:szCs w:val="18"/>
                      <w:highlight w:val="none"/>
                    </w:rPr>
                  </w:pPr>
                  <w:r>
                    <w:rPr>
                      <w:rFonts w:hint="eastAsia" w:ascii="宋体" w:hAnsi="宋体" w:eastAsia="宋体" w:cs="宋体"/>
                      <w:color w:val="000000"/>
                      <w:kern w:val="0"/>
                      <w:szCs w:val="21"/>
                    </w:rPr>
                    <w:t>按照《</w:t>
                  </w:r>
                  <w:r>
                    <w:rPr>
                      <w:rFonts w:hint="eastAsia" w:ascii="Times New Roman" w:hAnsi="Times New Roman"/>
                      <w:kern w:val="2"/>
                      <w:sz w:val="21"/>
                      <w:szCs w:val="21"/>
                    </w:rPr>
                    <w:t>公司节约用电管理制度</w:t>
                  </w:r>
                  <w:r>
                    <w:rPr>
                      <w:rFonts w:hint="eastAsia" w:ascii="宋体" w:hAnsi="宋体" w:eastAsia="宋体" w:cs="宋体"/>
                      <w:color w:val="000000"/>
                      <w:kern w:val="0"/>
                      <w:sz w:val="21"/>
                      <w:szCs w:val="21"/>
                    </w:rPr>
                    <w:t>》执</w:t>
                  </w:r>
                  <w:r>
                    <w:rPr>
                      <w:rFonts w:hint="eastAsia" w:ascii="宋体" w:hAnsi="宋体" w:eastAsia="宋体" w:cs="宋体"/>
                      <w:color w:val="000000"/>
                      <w:kern w:val="0"/>
                      <w:szCs w:val="21"/>
                    </w:rPr>
                    <w:t>行</w:t>
                  </w:r>
                </w:p>
              </w:tc>
              <w:tc>
                <w:tcPr>
                  <w:tcW w:w="1323" w:type="pct"/>
                  <w:vAlign w:val="center"/>
                </w:tcPr>
                <w:p>
                  <w:pPr>
                    <w:widowControl/>
                    <w:ind w:firstLine="210" w:firstLineChars="100"/>
                    <w:jc w:val="left"/>
                    <w:rPr>
                      <w:rFonts w:ascii="宋体" w:hAnsi="宋体" w:eastAsia="宋体" w:cs="宋体"/>
                      <w:color w:val="000000"/>
                      <w:kern w:val="0"/>
                      <w:sz w:val="21"/>
                      <w:szCs w:val="21"/>
                      <w:lang w:val="en-US" w:eastAsia="zh-CN" w:bidi="ar-SA"/>
                    </w:rPr>
                  </w:pPr>
                  <w:r>
                    <w:rPr>
                      <w:rFonts w:ascii="宋体" w:hAnsi="宋体" w:eastAsia="宋体" w:cs="宋体"/>
                      <w:color w:val="000000"/>
                      <w:kern w:val="0"/>
                      <w:szCs w:val="21"/>
                    </w:rPr>
                    <w:t>已完成</w:t>
                  </w:r>
                </w:p>
              </w:tc>
            </w:tr>
          </w:tbl>
          <w:p>
            <w:pPr>
              <w:rPr>
                <w:rFonts w:hint="default" w:eastAsia="宋体"/>
                <w:highlight w:val="none"/>
                <w:lang w:val="en-US" w:eastAsia="zh-CN"/>
              </w:rPr>
            </w:pPr>
            <w:r>
              <w:rPr>
                <w:rFonts w:hint="eastAsia"/>
                <w:highlight w:val="none"/>
              </w:rPr>
              <w:sym w:font="Wingdings" w:char="00FE"/>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318"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947" w:type="dxa"/>
            <w:vMerge w:val="restart"/>
          </w:tcPr>
          <w:p>
            <w:pPr>
              <w:rPr>
                <w:rFonts w:hint="default" w:eastAsia="宋体"/>
                <w:lang w:val="en-US" w:eastAsia="zh-CN"/>
              </w:rPr>
            </w:pPr>
            <w:r>
              <w:rPr>
                <w:rFonts w:hint="eastAsia"/>
                <w:lang w:val="en-US" w:eastAsia="zh-CN"/>
              </w:rPr>
              <w:t>运行</w:t>
            </w:r>
          </w:p>
        </w:tc>
        <w:tc>
          <w:tcPr>
            <w:tcW w:w="866" w:type="dxa"/>
            <w:vMerge w:val="restart"/>
          </w:tcPr>
          <w:p>
            <w:pPr>
              <w:pStyle w:val="16"/>
              <w:rPr>
                <w:rFonts w:hint="default"/>
                <w:lang w:val="en-US" w:eastAsia="zh-CN"/>
              </w:rPr>
            </w:pPr>
            <w:r>
              <w:rPr>
                <w:rFonts w:hint="eastAsia"/>
                <w:lang w:val="en-US" w:eastAsia="zh-CN"/>
              </w:rPr>
              <w:t>En8.1</w:t>
            </w:r>
          </w:p>
        </w:tc>
        <w:tc>
          <w:tcPr>
            <w:tcW w:w="66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文件名称</w:t>
            </w:r>
          </w:p>
        </w:tc>
        <w:tc>
          <w:tcPr>
            <w:tcW w:w="958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val="en-US" w:eastAsia="zh-CN"/>
              </w:rPr>
              <w:t>手册第/8.1 条款、《</w:t>
            </w:r>
            <w:r>
              <w:rPr>
                <w:rFonts w:hint="eastAsia" w:ascii="宋体" w:hAnsi="宋体" w:eastAsia="宋体" w:cs="宋体"/>
                <w:sz w:val="21"/>
                <w:szCs w:val="21"/>
                <w:lang w:val="en-US" w:eastAsia="zh-CN"/>
              </w:rPr>
              <w:t>体系运行控制程序</w:t>
            </w:r>
            <w:r>
              <w:rPr>
                <w:rFonts w:hint="eastAsia"/>
                <w:lang w:val="en-US" w:eastAsia="zh-CN"/>
              </w:rPr>
              <w:t>》</w:t>
            </w:r>
          </w:p>
        </w:tc>
        <w:tc>
          <w:tcPr>
            <w:tcW w:w="13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947" w:type="dxa"/>
            <w:vMerge w:val="continue"/>
          </w:tcPr>
          <w:p>
            <w:pPr>
              <w:rPr>
                <w:rFonts w:hint="eastAsia"/>
                <w:lang w:val="en-US" w:eastAsia="zh-CN"/>
              </w:rPr>
            </w:pPr>
          </w:p>
        </w:tc>
        <w:tc>
          <w:tcPr>
            <w:tcW w:w="866" w:type="dxa"/>
            <w:vMerge w:val="continue"/>
          </w:tcPr>
          <w:p>
            <w:pPr>
              <w:pStyle w:val="16"/>
              <w:rPr>
                <w:rFonts w:hint="eastAsia"/>
                <w:lang w:val="en-US" w:eastAsia="zh-CN"/>
              </w:rPr>
            </w:pPr>
          </w:p>
        </w:tc>
        <w:tc>
          <w:tcPr>
            <w:tcW w:w="667"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580" w:type="dxa"/>
            <w:vAlign w:val="top"/>
          </w:tcPr>
          <w:p>
            <w:pPr>
              <w:pStyle w:val="16"/>
              <w:rPr>
                <w:rFonts w:hint="default"/>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16"/>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16"/>
              <w:rPr>
                <w:rFonts w:hint="eastAsia"/>
                <w:vertAlign w:val="baseline"/>
                <w:lang w:val="en-US" w:eastAsia="zh-CN"/>
              </w:rPr>
            </w:pPr>
            <w:r>
              <w:rPr>
                <w:rFonts w:hint="eastAsia"/>
                <w:vertAlign w:val="baseline"/>
                <w:lang w:val="en-US" w:eastAsia="zh-CN"/>
              </w:rPr>
              <w:t>3.节约用纸的控制：</w:t>
            </w:r>
            <w:r>
              <w:rPr>
                <w:rFonts w:hint="eastAsia"/>
                <w:vertAlign w:val="baseline"/>
                <w:lang w:val="en-US" w:eastAsia="zh-CN"/>
              </w:rPr>
              <w:sym w:font="Wingdings" w:char="00FE"/>
            </w:r>
            <w:r>
              <w:rPr>
                <w:rFonts w:hint="eastAsia"/>
                <w:vertAlign w:val="baseline"/>
                <w:lang w:val="en-US" w:eastAsia="zh-CN"/>
              </w:rPr>
              <w:t xml:space="preserve">纸张双面使用  </w:t>
            </w:r>
            <w:r>
              <w:rPr>
                <w:rFonts w:hint="eastAsia"/>
                <w:vertAlign w:val="baseline"/>
                <w:lang w:val="en-US" w:eastAsia="zh-CN"/>
              </w:rPr>
              <w:sym w:font="Wingdings" w:char="00FE"/>
            </w:r>
            <w:r>
              <w:rPr>
                <w:rFonts w:hint="eastAsia"/>
                <w:vertAlign w:val="baseline"/>
                <w:lang w:val="en-US" w:eastAsia="zh-CN"/>
              </w:rPr>
              <w:t>尽量采用电子版文件</w:t>
            </w:r>
          </w:p>
          <w:p>
            <w:pPr>
              <w:pStyle w:val="16"/>
              <w:rPr>
                <w:rFonts w:hint="default"/>
                <w:vertAlign w:val="baseline"/>
                <w:lang w:val="en-US" w:eastAsia="zh-CN"/>
              </w:rPr>
            </w:pPr>
          </w:p>
          <w:p>
            <w:pPr>
              <w:pStyle w:val="16"/>
              <w:numPr>
                <w:ilvl w:val="0"/>
                <w:numId w:val="0"/>
              </w:numPr>
              <w:ind w:left="0" w:leftChars="0" w:firstLine="0" w:firstLineChars="0"/>
              <w:rPr>
                <w:rFonts w:hint="eastAsia"/>
                <w:vertAlign w:val="baseline"/>
                <w:lang w:val="en-US" w:eastAsia="zh-CN"/>
              </w:rPr>
            </w:pPr>
            <w:r>
              <w:rPr>
                <w:rFonts w:hint="eastAsia"/>
                <w:vertAlign w:val="baseline"/>
                <w:lang w:val="en-US" w:eastAsia="zh-CN"/>
              </w:rPr>
              <w:t>市场营销部主要工作是跑市场及售后服务，用能为办公室用电。</w:t>
            </w:r>
          </w:p>
          <w:p>
            <w:pPr>
              <w:pStyle w:val="16"/>
              <w:numPr>
                <w:ilvl w:val="0"/>
                <w:numId w:val="0"/>
              </w:numPr>
              <w:ind w:left="0" w:leftChars="0" w:firstLine="0" w:firstLineChars="0"/>
              <w:rPr>
                <w:rFonts w:hint="eastAsia"/>
                <w:vertAlign w:val="baseline"/>
                <w:lang w:val="en-US" w:eastAsia="zh-CN"/>
              </w:rPr>
            </w:pPr>
          </w:p>
        </w:tc>
        <w:tc>
          <w:tcPr>
            <w:tcW w:w="1318" w:type="dxa"/>
            <w:vAlign w:val="top"/>
          </w:tcPr>
          <w:p>
            <w:pPr>
              <w:rPr>
                <w:highlight w:val="none"/>
              </w:rPr>
            </w:pPr>
            <w:r>
              <w:rPr>
                <w:rFonts w:hint="eastAsia"/>
                <w:highlight w:val="none"/>
              </w:rPr>
              <w:sym w:font="Wingdings" w:char="00FE"/>
            </w:r>
            <w:r>
              <w:rPr>
                <w:rFonts w:hint="eastAsia"/>
                <w:highlight w:val="none"/>
              </w:rPr>
              <w:t>符合</w:t>
            </w:r>
          </w:p>
          <w:p>
            <w:pPr>
              <w:rPr>
                <w:rFonts w:hint="eastAsia" w:ascii="Times New Roman" w:hAnsi="Times New Roman" w:eastAsia="宋体" w:cs="Times New Roman"/>
                <w:kern w:val="2"/>
                <w:sz w:val="21"/>
                <w:lang w:val="en-US" w:eastAsia="zh-CN" w:bidi="ar-SA"/>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947" w:type="dxa"/>
            <w:vMerge w:val="restart"/>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sz w:val="21"/>
                <w:szCs w:val="21"/>
                <w:lang w:val="en-US" w:eastAsia="zh-CN"/>
              </w:rPr>
              <w:t>不符合纠正及纠正措施</w:t>
            </w:r>
          </w:p>
        </w:tc>
        <w:tc>
          <w:tcPr>
            <w:tcW w:w="866" w:type="dxa"/>
            <w:vMerge w:val="restart"/>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lang w:val="en-US" w:eastAsia="zh-CN"/>
              </w:rPr>
              <w:t>En10.1</w:t>
            </w:r>
          </w:p>
        </w:tc>
        <w:tc>
          <w:tcPr>
            <w:tcW w:w="667" w:type="dxa"/>
            <w:vAlign w:val="top"/>
          </w:tcPr>
          <w:p>
            <w:pPr>
              <w:rPr>
                <w:rFonts w:hint="eastAsia"/>
                <w:color w:val="auto"/>
                <w:lang w:val="en-US" w:eastAsia="zh-CN"/>
              </w:rPr>
            </w:pPr>
            <w:r>
              <w:rPr>
                <w:rFonts w:hint="eastAsia"/>
                <w:highlight w:val="none"/>
              </w:rPr>
              <w:t>文件名称</w:t>
            </w:r>
          </w:p>
        </w:tc>
        <w:tc>
          <w:tcPr>
            <w:tcW w:w="9580" w:type="dxa"/>
            <w:vAlign w:val="top"/>
          </w:tcPr>
          <w:p>
            <w:pPr>
              <w:rPr>
                <w:rFonts w:hint="eastAsia"/>
                <w:vertAlign w:val="baseline"/>
                <w:lang w:val="en-US" w:eastAsia="zh-CN"/>
              </w:rPr>
            </w:pPr>
            <w:r>
              <w:rPr>
                <w:rFonts w:hint="eastAsia"/>
                <w:highlight w:val="none"/>
              </w:rPr>
              <w:t>如：</w:t>
            </w:r>
            <w:r>
              <w:rPr>
                <w:color w:val="auto"/>
                <w:highlight w:val="none"/>
              </w:rPr>
              <w:sym w:font="Wingdings" w:char="00FE"/>
            </w:r>
            <w:r>
              <w:rPr>
                <w:rFonts w:hint="eastAsia"/>
                <w:highlight w:val="none"/>
              </w:rPr>
              <w:t>《</w:t>
            </w:r>
            <w:r>
              <w:rPr>
                <w:rFonts w:hint="eastAsia" w:asciiTheme="minorEastAsia" w:hAnsiTheme="minorEastAsia" w:cstheme="minorEastAsia"/>
                <w:color w:val="auto"/>
                <w:sz w:val="21"/>
                <w:szCs w:val="21"/>
              </w:rPr>
              <w:t>不符合及纠正措施控制程序</w:t>
            </w:r>
            <w:r>
              <w:rPr>
                <w:rFonts w:hint="eastAsia"/>
                <w:highlight w:val="none"/>
              </w:rPr>
              <w:t>》</w:t>
            </w:r>
            <w:r>
              <w:rPr>
                <w:rFonts w:hint="eastAsia"/>
                <w:highlight w:val="none"/>
                <w:lang w:eastAsia="zh-CN"/>
              </w:rPr>
              <w:t>，</w:t>
            </w:r>
            <w:r>
              <w:rPr>
                <w:rFonts w:hint="eastAsia"/>
                <w:highlight w:val="none"/>
                <w:lang w:val="en-US" w:eastAsia="zh-CN"/>
              </w:rPr>
              <w:t>手册10.1条款</w:t>
            </w:r>
          </w:p>
        </w:tc>
        <w:tc>
          <w:tcPr>
            <w:tcW w:w="1318" w:type="dxa"/>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947" w:type="dxa"/>
            <w:vMerge w:val="continue"/>
            <w:vAlign w:val="top"/>
          </w:tcPr>
          <w:p>
            <w:pPr>
              <w:rPr>
                <w:rFonts w:hint="eastAsia" w:ascii="Times New Roman" w:hAnsi="Times New Roman" w:eastAsia="宋体" w:cs="Times New Roman"/>
                <w:color w:val="000000" w:themeColor="text1"/>
                <w:kern w:val="2"/>
                <w:sz w:val="21"/>
                <w:lang w:val="en-US" w:eastAsia="zh-CN" w:bidi="ar-SA"/>
              </w:rPr>
            </w:pPr>
          </w:p>
        </w:tc>
        <w:tc>
          <w:tcPr>
            <w:tcW w:w="866" w:type="dxa"/>
            <w:vMerge w:val="continue"/>
            <w:vAlign w:val="top"/>
          </w:tcPr>
          <w:p>
            <w:pPr>
              <w:rPr>
                <w:rFonts w:hint="eastAsia" w:ascii="Times New Roman" w:hAnsi="Times New Roman" w:eastAsia="宋体" w:cs="Times New Roman"/>
                <w:color w:val="000000" w:themeColor="text1"/>
                <w:kern w:val="2"/>
                <w:sz w:val="21"/>
                <w:lang w:val="en-US" w:eastAsia="zh-CN" w:bidi="ar-SA"/>
              </w:rPr>
            </w:pPr>
          </w:p>
        </w:tc>
        <w:tc>
          <w:tcPr>
            <w:tcW w:w="667"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运行证据</w:t>
            </w:r>
          </w:p>
        </w:tc>
        <w:tc>
          <w:tcPr>
            <w:tcW w:w="958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该部门按季对目标指标完成情况进行检查考核，经查该部门2022年1-2季度能源各项目标指标全部完成。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Cs/>
                <w:spacing w:val="10"/>
                <w:kern w:val="2"/>
                <w:sz w:val="21"/>
                <w:lang w:val="en-US" w:eastAsia="zh-CN" w:bidi="ar-SA"/>
              </w:rPr>
            </w:pPr>
            <w:r>
              <w:rPr>
                <w:rFonts w:hint="eastAsia"/>
                <w:lang w:val="en-US" w:eastAsia="zh-CN"/>
              </w:rPr>
              <w:t>该部门自管理体系运行以来未发生不符合。</w:t>
            </w:r>
          </w:p>
        </w:tc>
        <w:tc>
          <w:tcPr>
            <w:tcW w:w="1318"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bl>
    <w:p/>
    <w:p>
      <w:pPr>
        <w:pStyle w:val="8"/>
        <w:rPr>
          <w:rFonts w:hint="eastAsia"/>
          <w:color w:val="000000" w:themeColor="text1"/>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423545" cy="426720"/>
          <wp:effectExtent l="0" t="0" r="317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3545" cy="4267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7649210</wp:posOffset>
              </wp:positionH>
              <wp:positionV relativeFrom="paragraph">
                <wp:posOffset>139700</wp:posOffset>
              </wp:positionV>
              <wp:extent cx="1497965" cy="256540"/>
              <wp:effectExtent l="0" t="0" r="635" b="10160"/>
              <wp:wrapNone/>
              <wp:docPr id="1" name="文本框 1026"/>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ISC-B-II-04(05版）</w:t>
                          </w:r>
                        </w:p>
                      </w:txbxContent>
                    </wps:txbx>
                    <wps:bodyPr upright="1"/>
                  </wps:wsp>
                </a:graphicData>
              </a:graphic>
            </wp:anchor>
          </w:drawing>
        </mc:Choice>
        <mc:Fallback>
          <w:pict>
            <v:shape id="文本框 1026" o:spid="_x0000_s1026" o:spt="202" type="#_x0000_t202" style="position:absolute;left:0pt;margin-left:602.3pt;margin-top:11pt;height:20.2pt;width:117.95pt;z-index:251660288;mso-width-relative:page;mso-height-relative:page;" fillcolor="#FFFFFF" filled="t" stroked="f" coordsize="21600,21600" o:gfxdata="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cqLQrXAAAACwEAAA8AAAAAAAAAAQAgAAAAIgAAAGRycy9kb3ducmV2&#10;LnhtbFBLAQIUABQAAAAIAIdO4kB2SqbOxAEAAHoDAAAOAAAAAAAAAAEAIAAAACYBAABkcnMvZTJv&#10;RG9jLnhtbFBLBQYAAAAABgAGAFkBAABcBQAAAAA=&#10;">
              <v:fill on="t" focussize="0,0"/>
              <v:stroke on="f"/>
              <v:imagedata o:title=""/>
              <o:lock v:ext="edit" aspectratio="f"/>
              <v:textbox>
                <w:txbxContent>
                  <w:p>
                    <w:pPr>
                      <w:rPr>
                        <w:sz w:val="18"/>
                        <w:szCs w:val="18"/>
                      </w:rPr>
                    </w:pPr>
                    <w:r>
                      <w:rPr>
                        <w:rFonts w:hint="eastAsia"/>
                        <w:sz w:val="18"/>
                        <w:szCs w:val="18"/>
                      </w:rPr>
                      <w:t>ISC-B-II-04(05版）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ind w:firstLine="756" w:firstLineChars="400"/>
      <w:jc w:val="left"/>
    </w:pP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AC0DD"/>
    <w:multiLevelType w:val="singleLevel"/>
    <w:tmpl w:val="8D1AC0DD"/>
    <w:lvl w:ilvl="0" w:tentative="0">
      <w:start w:val="1"/>
      <w:numFmt w:val="chineseCounting"/>
      <w:suff w:val="nothing"/>
      <w:lvlText w:val="%1、"/>
      <w:lvlJc w:val="left"/>
      <w:rPr>
        <w:rFonts w:hint="eastAsia"/>
      </w:rPr>
    </w:lvl>
  </w:abstractNum>
  <w:abstractNum w:abstractNumId="1">
    <w:nsid w:val="C295D2D6"/>
    <w:multiLevelType w:val="singleLevel"/>
    <w:tmpl w:val="C295D2D6"/>
    <w:lvl w:ilvl="0" w:tentative="0">
      <w:start w:val="7"/>
      <w:numFmt w:val="decimal"/>
      <w:suff w:val="nothing"/>
      <w:lvlText w:val="%1、"/>
      <w:lvlJc w:val="left"/>
      <w:pPr>
        <w:ind w:left="420"/>
      </w:pPr>
    </w:lvl>
  </w:abstractNum>
  <w:abstractNum w:abstractNumId="2">
    <w:nsid w:val="DCF3B0A7"/>
    <w:multiLevelType w:val="singleLevel"/>
    <w:tmpl w:val="DCF3B0A7"/>
    <w:lvl w:ilvl="0" w:tentative="0">
      <w:start w:val="1"/>
      <w:numFmt w:val="decimal"/>
      <w:suff w:val="nothing"/>
      <w:lvlText w:val="%1、"/>
      <w:lvlJc w:val="left"/>
      <w:pPr>
        <w:ind w:left="735" w:leftChars="0" w:firstLine="0" w:firstLineChars="0"/>
      </w:pPr>
    </w:lvl>
  </w:abstractNum>
  <w:abstractNum w:abstractNumId="3">
    <w:nsid w:val="F4055B71"/>
    <w:multiLevelType w:val="singleLevel"/>
    <w:tmpl w:val="F4055B71"/>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4">
    <w:nsid w:val="FC0A0383"/>
    <w:multiLevelType w:val="singleLevel"/>
    <w:tmpl w:val="FC0A0383"/>
    <w:lvl w:ilvl="0" w:tentative="0">
      <w:start w:val="1"/>
      <w:numFmt w:val="chineseCounting"/>
      <w:suff w:val="nothing"/>
      <w:lvlText w:val="%1、"/>
      <w:lvlJc w:val="left"/>
      <w:pPr>
        <w:ind w:left="0"/>
      </w:pPr>
      <w:rPr>
        <w:rFonts w:hint="eastAsia"/>
      </w:rPr>
    </w:lvl>
  </w:abstractNum>
  <w:abstractNum w:abstractNumId="5">
    <w:nsid w:val="00000015"/>
    <w:multiLevelType w:val="multilevel"/>
    <w:tmpl w:val="00000015"/>
    <w:lvl w:ilvl="0" w:tentative="0">
      <w:start w:val="1"/>
      <w:numFmt w:val="lowerLetter"/>
      <w:pStyle w:val="2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4EE7C0DC"/>
    <w:multiLevelType w:val="singleLevel"/>
    <w:tmpl w:val="4EE7C0DC"/>
    <w:lvl w:ilvl="0" w:tentative="0">
      <w:start w:val="1"/>
      <w:numFmt w:val="decimal"/>
      <w:suff w:val="nothing"/>
      <w:lvlText w:val="%1、"/>
      <w:lvlJc w:val="left"/>
      <w:pPr>
        <w:ind w:left="480" w:leftChars="0" w:firstLine="0" w:firstLineChars="0"/>
      </w:pPr>
    </w:lvl>
  </w:abstractNum>
  <w:abstractNum w:abstractNumId="7">
    <w:nsid w:val="76B1EBF4"/>
    <w:multiLevelType w:val="singleLevel"/>
    <w:tmpl w:val="76B1EBF4"/>
    <w:lvl w:ilvl="0" w:tentative="0">
      <w:start w:val="2"/>
      <w:numFmt w:val="chineseCounting"/>
      <w:suff w:val="nothing"/>
      <w:lvlText w:val="%1、"/>
      <w:lvlJc w:val="left"/>
      <w:rPr>
        <w:rFonts w:hint="eastAsia"/>
      </w:rPr>
    </w:lvl>
  </w:abstractNum>
  <w:num w:numId="1">
    <w:abstractNumId w:val="3"/>
  </w:num>
  <w:num w:numId="2">
    <w:abstractNumId w:val="5"/>
  </w:num>
  <w:num w:numId="3">
    <w:abstractNumId w:val="0"/>
  </w:num>
  <w:num w:numId="4">
    <w:abstractNumId w:val="7"/>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OGY5MzIwYjM5OWFmZGI4MTBhODVhYjUzMzlkOTUifQ=="/>
  </w:docVars>
  <w:rsids>
    <w:rsidRoot w:val="009973B4"/>
    <w:rsid w:val="000237F6"/>
    <w:rsid w:val="0003373A"/>
    <w:rsid w:val="000400E2"/>
    <w:rsid w:val="00062E46"/>
    <w:rsid w:val="000E6B21"/>
    <w:rsid w:val="001A2D7F"/>
    <w:rsid w:val="001B2B1C"/>
    <w:rsid w:val="001D4206"/>
    <w:rsid w:val="002939AD"/>
    <w:rsid w:val="00314AF6"/>
    <w:rsid w:val="00337922"/>
    <w:rsid w:val="00340867"/>
    <w:rsid w:val="00380837"/>
    <w:rsid w:val="003A198A"/>
    <w:rsid w:val="00410914"/>
    <w:rsid w:val="00536930"/>
    <w:rsid w:val="00564E53"/>
    <w:rsid w:val="005D5659"/>
    <w:rsid w:val="00600C20"/>
    <w:rsid w:val="00644FE2"/>
    <w:rsid w:val="0067640C"/>
    <w:rsid w:val="006A10C1"/>
    <w:rsid w:val="006E678B"/>
    <w:rsid w:val="007757F3"/>
    <w:rsid w:val="007C1B48"/>
    <w:rsid w:val="007E6AEB"/>
    <w:rsid w:val="00870ACF"/>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657C13"/>
    <w:rsid w:val="01747E56"/>
    <w:rsid w:val="01A20B6F"/>
    <w:rsid w:val="01E30C0C"/>
    <w:rsid w:val="01F25A54"/>
    <w:rsid w:val="02AB7851"/>
    <w:rsid w:val="02C75967"/>
    <w:rsid w:val="03B17E9F"/>
    <w:rsid w:val="03B44E81"/>
    <w:rsid w:val="03C10429"/>
    <w:rsid w:val="03C342FE"/>
    <w:rsid w:val="040910C6"/>
    <w:rsid w:val="044E0E32"/>
    <w:rsid w:val="045D18A3"/>
    <w:rsid w:val="047A2E43"/>
    <w:rsid w:val="047C23EE"/>
    <w:rsid w:val="04F069D1"/>
    <w:rsid w:val="050D2726"/>
    <w:rsid w:val="05413B9B"/>
    <w:rsid w:val="056A3321"/>
    <w:rsid w:val="05783597"/>
    <w:rsid w:val="05AA0B19"/>
    <w:rsid w:val="0620394D"/>
    <w:rsid w:val="063A6291"/>
    <w:rsid w:val="06CA7892"/>
    <w:rsid w:val="06D7205C"/>
    <w:rsid w:val="06EA5A5A"/>
    <w:rsid w:val="078057A6"/>
    <w:rsid w:val="078D368D"/>
    <w:rsid w:val="07B65520"/>
    <w:rsid w:val="08053EFD"/>
    <w:rsid w:val="08422B0C"/>
    <w:rsid w:val="0876305B"/>
    <w:rsid w:val="08797894"/>
    <w:rsid w:val="088713E8"/>
    <w:rsid w:val="08CE0793"/>
    <w:rsid w:val="08EE3767"/>
    <w:rsid w:val="094F6F85"/>
    <w:rsid w:val="096965FF"/>
    <w:rsid w:val="09954E0D"/>
    <w:rsid w:val="0A0917C7"/>
    <w:rsid w:val="0A1755E4"/>
    <w:rsid w:val="0A200CA9"/>
    <w:rsid w:val="0A216C7D"/>
    <w:rsid w:val="0A6F7889"/>
    <w:rsid w:val="0A7922E4"/>
    <w:rsid w:val="0A896FE9"/>
    <w:rsid w:val="0ABC7949"/>
    <w:rsid w:val="0AD01F3B"/>
    <w:rsid w:val="0AFD3115"/>
    <w:rsid w:val="0B064214"/>
    <w:rsid w:val="0B901801"/>
    <w:rsid w:val="0BB71B42"/>
    <w:rsid w:val="0BDF4C6D"/>
    <w:rsid w:val="0CF72B6F"/>
    <w:rsid w:val="0D196651"/>
    <w:rsid w:val="0D2D4B4A"/>
    <w:rsid w:val="0D7218A9"/>
    <w:rsid w:val="0D985275"/>
    <w:rsid w:val="0DE9220E"/>
    <w:rsid w:val="0F3B12A6"/>
    <w:rsid w:val="0F590216"/>
    <w:rsid w:val="106C6179"/>
    <w:rsid w:val="10733C36"/>
    <w:rsid w:val="107C6ED1"/>
    <w:rsid w:val="108219C2"/>
    <w:rsid w:val="10AD5132"/>
    <w:rsid w:val="112B77E7"/>
    <w:rsid w:val="11405FA6"/>
    <w:rsid w:val="116F5FE8"/>
    <w:rsid w:val="11912C95"/>
    <w:rsid w:val="11C646FD"/>
    <w:rsid w:val="11CE14E0"/>
    <w:rsid w:val="120A2AFF"/>
    <w:rsid w:val="12254B2F"/>
    <w:rsid w:val="129F4CA3"/>
    <w:rsid w:val="13570F70"/>
    <w:rsid w:val="138959E3"/>
    <w:rsid w:val="13B33BC9"/>
    <w:rsid w:val="13BD2BE4"/>
    <w:rsid w:val="1409613B"/>
    <w:rsid w:val="147941C0"/>
    <w:rsid w:val="14A468DA"/>
    <w:rsid w:val="14B9416C"/>
    <w:rsid w:val="14BC1DE8"/>
    <w:rsid w:val="14E340D5"/>
    <w:rsid w:val="15436065"/>
    <w:rsid w:val="154F4A0A"/>
    <w:rsid w:val="155E2E9F"/>
    <w:rsid w:val="15B870CC"/>
    <w:rsid w:val="15BF35CE"/>
    <w:rsid w:val="1642631D"/>
    <w:rsid w:val="166D6AFA"/>
    <w:rsid w:val="168A7736"/>
    <w:rsid w:val="16A36DBB"/>
    <w:rsid w:val="16AA4F66"/>
    <w:rsid w:val="16B65069"/>
    <w:rsid w:val="16D974B1"/>
    <w:rsid w:val="170D06D9"/>
    <w:rsid w:val="17645581"/>
    <w:rsid w:val="178B4ED3"/>
    <w:rsid w:val="178D388A"/>
    <w:rsid w:val="179A11C6"/>
    <w:rsid w:val="18572570"/>
    <w:rsid w:val="18D55226"/>
    <w:rsid w:val="18E84292"/>
    <w:rsid w:val="190F099B"/>
    <w:rsid w:val="19CC6676"/>
    <w:rsid w:val="1A3348FA"/>
    <w:rsid w:val="1A6425A6"/>
    <w:rsid w:val="1AB47395"/>
    <w:rsid w:val="1ADD2EA8"/>
    <w:rsid w:val="1B46487E"/>
    <w:rsid w:val="1B4A551C"/>
    <w:rsid w:val="1B4C1884"/>
    <w:rsid w:val="1B6170A5"/>
    <w:rsid w:val="1B881819"/>
    <w:rsid w:val="1B8C7176"/>
    <w:rsid w:val="1C0D795C"/>
    <w:rsid w:val="1C75625B"/>
    <w:rsid w:val="1C8C17DD"/>
    <w:rsid w:val="1CF10B00"/>
    <w:rsid w:val="1D8D645B"/>
    <w:rsid w:val="1DBE44DB"/>
    <w:rsid w:val="1DCA2F12"/>
    <w:rsid w:val="1E056013"/>
    <w:rsid w:val="1E263064"/>
    <w:rsid w:val="1E27007F"/>
    <w:rsid w:val="1E286F45"/>
    <w:rsid w:val="1E3A3D1D"/>
    <w:rsid w:val="1E4246BE"/>
    <w:rsid w:val="1E5834D0"/>
    <w:rsid w:val="1E873FE7"/>
    <w:rsid w:val="1EF87EC0"/>
    <w:rsid w:val="1F107A2E"/>
    <w:rsid w:val="1F771329"/>
    <w:rsid w:val="1FB822EE"/>
    <w:rsid w:val="1FF26AC7"/>
    <w:rsid w:val="20997FF6"/>
    <w:rsid w:val="21025026"/>
    <w:rsid w:val="212345D6"/>
    <w:rsid w:val="21396860"/>
    <w:rsid w:val="21967404"/>
    <w:rsid w:val="21BF16DB"/>
    <w:rsid w:val="21ED3656"/>
    <w:rsid w:val="223F57D8"/>
    <w:rsid w:val="22F54EA8"/>
    <w:rsid w:val="23436091"/>
    <w:rsid w:val="23887A65"/>
    <w:rsid w:val="23DA6CA9"/>
    <w:rsid w:val="24612064"/>
    <w:rsid w:val="24643D71"/>
    <w:rsid w:val="248C14D9"/>
    <w:rsid w:val="248F6BD1"/>
    <w:rsid w:val="249407DA"/>
    <w:rsid w:val="24DC1AD6"/>
    <w:rsid w:val="24E376B9"/>
    <w:rsid w:val="24EF50A7"/>
    <w:rsid w:val="24F52E53"/>
    <w:rsid w:val="2565327F"/>
    <w:rsid w:val="25A60F9D"/>
    <w:rsid w:val="25C6426F"/>
    <w:rsid w:val="25D01723"/>
    <w:rsid w:val="25D02351"/>
    <w:rsid w:val="25D43F74"/>
    <w:rsid w:val="25E41C25"/>
    <w:rsid w:val="25F6279D"/>
    <w:rsid w:val="260E6499"/>
    <w:rsid w:val="26D5244A"/>
    <w:rsid w:val="26D66188"/>
    <w:rsid w:val="26E50717"/>
    <w:rsid w:val="26F66212"/>
    <w:rsid w:val="27247AA4"/>
    <w:rsid w:val="277D79BE"/>
    <w:rsid w:val="278524A7"/>
    <w:rsid w:val="279C0A06"/>
    <w:rsid w:val="28352082"/>
    <w:rsid w:val="28EB77AF"/>
    <w:rsid w:val="29475733"/>
    <w:rsid w:val="29711339"/>
    <w:rsid w:val="29891E41"/>
    <w:rsid w:val="298A5926"/>
    <w:rsid w:val="29A21A71"/>
    <w:rsid w:val="29E318C1"/>
    <w:rsid w:val="2A0140CD"/>
    <w:rsid w:val="2A4B5348"/>
    <w:rsid w:val="2A766C51"/>
    <w:rsid w:val="2A9A007E"/>
    <w:rsid w:val="2AAD74CC"/>
    <w:rsid w:val="2AF95B18"/>
    <w:rsid w:val="2B1F7928"/>
    <w:rsid w:val="2B2F4819"/>
    <w:rsid w:val="2B4B4AAC"/>
    <w:rsid w:val="2B5B1396"/>
    <w:rsid w:val="2BAA69BD"/>
    <w:rsid w:val="2BE06F35"/>
    <w:rsid w:val="2BE71DC5"/>
    <w:rsid w:val="2C3103C0"/>
    <w:rsid w:val="2C40010F"/>
    <w:rsid w:val="2CD85C70"/>
    <w:rsid w:val="2D005B3C"/>
    <w:rsid w:val="2D5E35E4"/>
    <w:rsid w:val="2DEF36D7"/>
    <w:rsid w:val="2E1A197C"/>
    <w:rsid w:val="2EB967C5"/>
    <w:rsid w:val="2F2919D0"/>
    <w:rsid w:val="2F5D1B23"/>
    <w:rsid w:val="2F912599"/>
    <w:rsid w:val="31131D4A"/>
    <w:rsid w:val="316E0FC0"/>
    <w:rsid w:val="318604A8"/>
    <w:rsid w:val="32334EAE"/>
    <w:rsid w:val="325C45A5"/>
    <w:rsid w:val="32A95256"/>
    <w:rsid w:val="32C42270"/>
    <w:rsid w:val="32CA2161"/>
    <w:rsid w:val="32E75CD3"/>
    <w:rsid w:val="32ED0FB0"/>
    <w:rsid w:val="33227E64"/>
    <w:rsid w:val="332C2F3D"/>
    <w:rsid w:val="3341378C"/>
    <w:rsid w:val="337828A6"/>
    <w:rsid w:val="33835B53"/>
    <w:rsid w:val="33B17859"/>
    <w:rsid w:val="341A7CF1"/>
    <w:rsid w:val="34252986"/>
    <w:rsid w:val="347A765D"/>
    <w:rsid w:val="34B42186"/>
    <w:rsid w:val="351F77BF"/>
    <w:rsid w:val="356B5308"/>
    <w:rsid w:val="3581411C"/>
    <w:rsid w:val="35933FBA"/>
    <w:rsid w:val="35A8064D"/>
    <w:rsid w:val="35B97AB3"/>
    <w:rsid w:val="361577F0"/>
    <w:rsid w:val="36240FF0"/>
    <w:rsid w:val="36452A4F"/>
    <w:rsid w:val="365117DC"/>
    <w:rsid w:val="36742059"/>
    <w:rsid w:val="36D47726"/>
    <w:rsid w:val="36D844B9"/>
    <w:rsid w:val="37361CB0"/>
    <w:rsid w:val="374716A1"/>
    <w:rsid w:val="375E3132"/>
    <w:rsid w:val="382967FA"/>
    <w:rsid w:val="383B0E22"/>
    <w:rsid w:val="38B67CF6"/>
    <w:rsid w:val="38FB618B"/>
    <w:rsid w:val="393513FC"/>
    <w:rsid w:val="393C56E6"/>
    <w:rsid w:val="3950297B"/>
    <w:rsid w:val="395A7356"/>
    <w:rsid w:val="39925D4F"/>
    <w:rsid w:val="39987E7E"/>
    <w:rsid w:val="39E763A5"/>
    <w:rsid w:val="3A732B6E"/>
    <w:rsid w:val="3A754535"/>
    <w:rsid w:val="3A8E705E"/>
    <w:rsid w:val="3A9C3D5F"/>
    <w:rsid w:val="3AD4006D"/>
    <w:rsid w:val="3AF9494C"/>
    <w:rsid w:val="3B2F152F"/>
    <w:rsid w:val="3B4C5C1A"/>
    <w:rsid w:val="3B5F3FD6"/>
    <w:rsid w:val="3BCE6DE3"/>
    <w:rsid w:val="3BE6600C"/>
    <w:rsid w:val="3BF21AC7"/>
    <w:rsid w:val="3C017DB1"/>
    <w:rsid w:val="3C597D99"/>
    <w:rsid w:val="3C721706"/>
    <w:rsid w:val="3CD52507"/>
    <w:rsid w:val="3CE76B0E"/>
    <w:rsid w:val="3D241721"/>
    <w:rsid w:val="3D405048"/>
    <w:rsid w:val="3D4E6C4D"/>
    <w:rsid w:val="3D507775"/>
    <w:rsid w:val="3D597924"/>
    <w:rsid w:val="3E4B54BF"/>
    <w:rsid w:val="3E4F4E3C"/>
    <w:rsid w:val="3EC252BA"/>
    <w:rsid w:val="3EED6F68"/>
    <w:rsid w:val="3F363088"/>
    <w:rsid w:val="3F655E33"/>
    <w:rsid w:val="3F8A37D7"/>
    <w:rsid w:val="3FAA0F9B"/>
    <w:rsid w:val="3FEF0729"/>
    <w:rsid w:val="40E73C0B"/>
    <w:rsid w:val="40FF7F5C"/>
    <w:rsid w:val="413132A0"/>
    <w:rsid w:val="41412BA9"/>
    <w:rsid w:val="418C6EA0"/>
    <w:rsid w:val="41A102B3"/>
    <w:rsid w:val="41D81C71"/>
    <w:rsid w:val="425238A9"/>
    <w:rsid w:val="425D1C65"/>
    <w:rsid w:val="42A12BB2"/>
    <w:rsid w:val="42E47DA6"/>
    <w:rsid w:val="42E81EC6"/>
    <w:rsid w:val="430458CB"/>
    <w:rsid w:val="433A1A67"/>
    <w:rsid w:val="43752EA3"/>
    <w:rsid w:val="43B81849"/>
    <w:rsid w:val="43C45188"/>
    <w:rsid w:val="43EA1BA4"/>
    <w:rsid w:val="4416031D"/>
    <w:rsid w:val="444978C2"/>
    <w:rsid w:val="447C03D3"/>
    <w:rsid w:val="450827B4"/>
    <w:rsid w:val="45466A75"/>
    <w:rsid w:val="454F5D75"/>
    <w:rsid w:val="456613DE"/>
    <w:rsid w:val="45835A41"/>
    <w:rsid w:val="45EA0564"/>
    <w:rsid w:val="4610399C"/>
    <w:rsid w:val="46675326"/>
    <w:rsid w:val="46676C35"/>
    <w:rsid w:val="46D70238"/>
    <w:rsid w:val="46E10C14"/>
    <w:rsid w:val="478B4549"/>
    <w:rsid w:val="490077F5"/>
    <w:rsid w:val="49891591"/>
    <w:rsid w:val="499618FC"/>
    <w:rsid w:val="49A43C5D"/>
    <w:rsid w:val="49E3775A"/>
    <w:rsid w:val="4A643F32"/>
    <w:rsid w:val="4AAC461E"/>
    <w:rsid w:val="4AB51850"/>
    <w:rsid w:val="4AEA2B2F"/>
    <w:rsid w:val="4B1D16C3"/>
    <w:rsid w:val="4B3D5431"/>
    <w:rsid w:val="4BA532F3"/>
    <w:rsid w:val="4BB3106D"/>
    <w:rsid w:val="4BC14352"/>
    <w:rsid w:val="4BCB40E3"/>
    <w:rsid w:val="4C4A325A"/>
    <w:rsid w:val="4C7C72A1"/>
    <w:rsid w:val="4C8654D1"/>
    <w:rsid w:val="4C8A2925"/>
    <w:rsid w:val="4D9D0161"/>
    <w:rsid w:val="4DDC7F37"/>
    <w:rsid w:val="4DE427FB"/>
    <w:rsid w:val="4E022E2E"/>
    <w:rsid w:val="4E194E12"/>
    <w:rsid w:val="4E377A31"/>
    <w:rsid w:val="4E462FFF"/>
    <w:rsid w:val="4E593C28"/>
    <w:rsid w:val="4ED716D8"/>
    <w:rsid w:val="4F460E7A"/>
    <w:rsid w:val="4F701171"/>
    <w:rsid w:val="4FAC517C"/>
    <w:rsid w:val="4FFD1A67"/>
    <w:rsid w:val="501A73E7"/>
    <w:rsid w:val="504E666F"/>
    <w:rsid w:val="508939BE"/>
    <w:rsid w:val="50F52783"/>
    <w:rsid w:val="510C5AF5"/>
    <w:rsid w:val="511B40AC"/>
    <w:rsid w:val="516B614C"/>
    <w:rsid w:val="520B348B"/>
    <w:rsid w:val="52950FA7"/>
    <w:rsid w:val="52D826EB"/>
    <w:rsid w:val="53D34B71"/>
    <w:rsid w:val="547E7F44"/>
    <w:rsid w:val="54C0741A"/>
    <w:rsid w:val="552B6656"/>
    <w:rsid w:val="55523E09"/>
    <w:rsid w:val="55E00E7A"/>
    <w:rsid w:val="566B44F9"/>
    <w:rsid w:val="568C3F73"/>
    <w:rsid w:val="56DF2C65"/>
    <w:rsid w:val="56F0460D"/>
    <w:rsid w:val="56F15158"/>
    <w:rsid w:val="5772393E"/>
    <w:rsid w:val="577A72F9"/>
    <w:rsid w:val="57900F32"/>
    <w:rsid w:val="57F6405E"/>
    <w:rsid w:val="586C3333"/>
    <w:rsid w:val="5891157C"/>
    <w:rsid w:val="59062011"/>
    <w:rsid w:val="595B4CF8"/>
    <w:rsid w:val="597F7DE2"/>
    <w:rsid w:val="598002BB"/>
    <w:rsid w:val="59F42A57"/>
    <w:rsid w:val="5A1D6551"/>
    <w:rsid w:val="5AA54A65"/>
    <w:rsid w:val="5B484E08"/>
    <w:rsid w:val="5B99033C"/>
    <w:rsid w:val="5BA21581"/>
    <w:rsid w:val="5BFD0207"/>
    <w:rsid w:val="5C341831"/>
    <w:rsid w:val="5CAB44D2"/>
    <w:rsid w:val="5CB54AF1"/>
    <w:rsid w:val="5CC22B73"/>
    <w:rsid w:val="5CD80232"/>
    <w:rsid w:val="5CF60894"/>
    <w:rsid w:val="5D2D5EC6"/>
    <w:rsid w:val="5DBA2483"/>
    <w:rsid w:val="5DD032D6"/>
    <w:rsid w:val="5DD532EB"/>
    <w:rsid w:val="5DD70A6E"/>
    <w:rsid w:val="5DE163BC"/>
    <w:rsid w:val="5DFE0F97"/>
    <w:rsid w:val="5E292A40"/>
    <w:rsid w:val="5E543BB8"/>
    <w:rsid w:val="5E56783C"/>
    <w:rsid w:val="5EA12B9A"/>
    <w:rsid w:val="5EB56492"/>
    <w:rsid w:val="5EC27919"/>
    <w:rsid w:val="5F1D2B20"/>
    <w:rsid w:val="5F31209E"/>
    <w:rsid w:val="5F445EE1"/>
    <w:rsid w:val="5F5C13F0"/>
    <w:rsid w:val="5F6F7813"/>
    <w:rsid w:val="5F8959EF"/>
    <w:rsid w:val="5FB91D2B"/>
    <w:rsid w:val="5FEB2206"/>
    <w:rsid w:val="60685183"/>
    <w:rsid w:val="609C6059"/>
    <w:rsid w:val="60C5644C"/>
    <w:rsid w:val="60D8693C"/>
    <w:rsid w:val="60E05399"/>
    <w:rsid w:val="60E857E8"/>
    <w:rsid w:val="61003C5B"/>
    <w:rsid w:val="61125AC4"/>
    <w:rsid w:val="619A7815"/>
    <w:rsid w:val="61D026EA"/>
    <w:rsid w:val="61EC1F58"/>
    <w:rsid w:val="61F011BF"/>
    <w:rsid w:val="61F2749E"/>
    <w:rsid w:val="61F324A2"/>
    <w:rsid w:val="620D4FC6"/>
    <w:rsid w:val="6223037D"/>
    <w:rsid w:val="6298438A"/>
    <w:rsid w:val="62C55E6E"/>
    <w:rsid w:val="62D87B2E"/>
    <w:rsid w:val="62F24F2F"/>
    <w:rsid w:val="63175BAC"/>
    <w:rsid w:val="63360306"/>
    <w:rsid w:val="63400E96"/>
    <w:rsid w:val="634714D0"/>
    <w:rsid w:val="634C7460"/>
    <w:rsid w:val="637106C5"/>
    <w:rsid w:val="63960C7C"/>
    <w:rsid w:val="639A466F"/>
    <w:rsid w:val="63AA33F2"/>
    <w:rsid w:val="645F2B5D"/>
    <w:rsid w:val="650A78D6"/>
    <w:rsid w:val="65604101"/>
    <w:rsid w:val="65AE61B0"/>
    <w:rsid w:val="663858E4"/>
    <w:rsid w:val="664A3CA3"/>
    <w:rsid w:val="66AF456A"/>
    <w:rsid w:val="66DD4F9F"/>
    <w:rsid w:val="673A3673"/>
    <w:rsid w:val="678B4F37"/>
    <w:rsid w:val="67A60BDB"/>
    <w:rsid w:val="684903CF"/>
    <w:rsid w:val="692F585A"/>
    <w:rsid w:val="693F2356"/>
    <w:rsid w:val="69CD79CF"/>
    <w:rsid w:val="6A004C60"/>
    <w:rsid w:val="6A2D57C4"/>
    <w:rsid w:val="6A753740"/>
    <w:rsid w:val="6B9A16B0"/>
    <w:rsid w:val="6BA95A86"/>
    <w:rsid w:val="6BC232AD"/>
    <w:rsid w:val="6C1279E0"/>
    <w:rsid w:val="6CAA131E"/>
    <w:rsid w:val="6CEA2EF7"/>
    <w:rsid w:val="6D0F5955"/>
    <w:rsid w:val="6D8D5B2D"/>
    <w:rsid w:val="6D9C65D1"/>
    <w:rsid w:val="6E1119D2"/>
    <w:rsid w:val="6E26299D"/>
    <w:rsid w:val="6E317B32"/>
    <w:rsid w:val="6E322C73"/>
    <w:rsid w:val="6E6B62C8"/>
    <w:rsid w:val="6E7F3B0E"/>
    <w:rsid w:val="6E9F4C3F"/>
    <w:rsid w:val="6F205136"/>
    <w:rsid w:val="6F397B2D"/>
    <w:rsid w:val="6F3E67F6"/>
    <w:rsid w:val="6F765216"/>
    <w:rsid w:val="6FE52A30"/>
    <w:rsid w:val="708B3694"/>
    <w:rsid w:val="70BC0C82"/>
    <w:rsid w:val="70FE0D10"/>
    <w:rsid w:val="7147513F"/>
    <w:rsid w:val="71523BBC"/>
    <w:rsid w:val="71594D33"/>
    <w:rsid w:val="71DA24FE"/>
    <w:rsid w:val="721A7BDD"/>
    <w:rsid w:val="7257141B"/>
    <w:rsid w:val="72CD3B24"/>
    <w:rsid w:val="72CD78D6"/>
    <w:rsid w:val="733D0338"/>
    <w:rsid w:val="73D23906"/>
    <w:rsid w:val="742D63C8"/>
    <w:rsid w:val="745443C6"/>
    <w:rsid w:val="74552F0F"/>
    <w:rsid w:val="74602D6B"/>
    <w:rsid w:val="747A1632"/>
    <w:rsid w:val="753266BC"/>
    <w:rsid w:val="753B3879"/>
    <w:rsid w:val="75623FC3"/>
    <w:rsid w:val="75713487"/>
    <w:rsid w:val="75B6295B"/>
    <w:rsid w:val="75F14F63"/>
    <w:rsid w:val="76025C13"/>
    <w:rsid w:val="76236746"/>
    <w:rsid w:val="76432944"/>
    <w:rsid w:val="765A5DFB"/>
    <w:rsid w:val="76AF40A0"/>
    <w:rsid w:val="76FD58A0"/>
    <w:rsid w:val="77002529"/>
    <w:rsid w:val="77187E8F"/>
    <w:rsid w:val="778D1E8E"/>
    <w:rsid w:val="78085442"/>
    <w:rsid w:val="782F74B9"/>
    <w:rsid w:val="78B12C97"/>
    <w:rsid w:val="78B95828"/>
    <w:rsid w:val="78CB57AE"/>
    <w:rsid w:val="78E67034"/>
    <w:rsid w:val="790F4ED3"/>
    <w:rsid w:val="79807E6E"/>
    <w:rsid w:val="79BE2A65"/>
    <w:rsid w:val="79CD2983"/>
    <w:rsid w:val="79D83C42"/>
    <w:rsid w:val="79F503F9"/>
    <w:rsid w:val="7AA17C39"/>
    <w:rsid w:val="7AB756AF"/>
    <w:rsid w:val="7AD6279A"/>
    <w:rsid w:val="7AFB1A3F"/>
    <w:rsid w:val="7B094387"/>
    <w:rsid w:val="7B243ADF"/>
    <w:rsid w:val="7B421755"/>
    <w:rsid w:val="7B5573A2"/>
    <w:rsid w:val="7BA85F6D"/>
    <w:rsid w:val="7BD36518"/>
    <w:rsid w:val="7BDB243B"/>
    <w:rsid w:val="7C6026CD"/>
    <w:rsid w:val="7CC16C5D"/>
    <w:rsid w:val="7D0B1089"/>
    <w:rsid w:val="7D292894"/>
    <w:rsid w:val="7DFD66A8"/>
    <w:rsid w:val="7E095BA1"/>
    <w:rsid w:val="7E155CD3"/>
    <w:rsid w:val="7E64683F"/>
    <w:rsid w:val="7E7062A0"/>
    <w:rsid w:val="7E7A4F88"/>
    <w:rsid w:val="7EA64814"/>
    <w:rsid w:val="7EAF501B"/>
    <w:rsid w:val="7ED31D30"/>
    <w:rsid w:val="7F5F1A41"/>
    <w:rsid w:val="7F6117DF"/>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rPr>
      <w:rFonts w:eastAsia="华文细黑"/>
      <w:sz w:val="24"/>
    </w:rPr>
  </w:style>
  <w:style w:type="paragraph" w:styleId="4">
    <w:name w:val="List Bullet 5"/>
    <w:basedOn w:val="1"/>
    <w:semiHidden/>
    <w:unhideWhenUsed/>
    <w:qFormat/>
    <w:uiPriority w:val="99"/>
    <w:pPr>
      <w:numPr>
        <w:ilvl w:val="0"/>
        <w:numId w:val="1"/>
      </w:numPr>
    </w:pPr>
  </w:style>
  <w:style w:type="paragraph" w:styleId="6">
    <w:name w:val="Plain Text"/>
    <w:basedOn w:val="1"/>
    <w:qFormat/>
    <w:uiPriority w:val="0"/>
    <w:rPr>
      <w:rFonts w:ascii="宋体" w:hAnsi="Courier New" w:cs="Courier New"/>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able of figures"/>
    <w:basedOn w:val="1"/>
    <w:next w:val="1"/>
    <w:qFormat/>
    <w:uiPriority w:val="0"/>
    <w:pPr>
      <w:ind w:left="200" w:leftChars="200" w:hanging="200" w:hangingChars="200"/>
    </w:p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4"/>
    <w:link w:val="9"/>
    <w:qFormat/>
    <w:uiPriority w:val="99"/>
    <w:rPr>
      <w:rFonts w:ascii="Times New Roman" w:hAnsi="Times New Roman" w:eastAsia="宋体" w:cs="Times New Roman"/>
      <w:sz w:val="18"/>
      <w:szCs w:val="18"/>
    </w:rPr>
  </w:style>
  <w:style w:type="character" w:customStyle="1" w:styleId="18">
    <w:name w:val="页脚 字符"/>
    <w:basedOn w:val="14"/>
    <w:link w:val="8"/>
    <w:qFormat/>
    <w:uiPriority w:val="99"/>
    <w:rPr>
      <w:rFonts w:ascii="Times New Roman" w:hAnsi="Times New Roman" w:eastAsia="宋体" w:cs="Times New Roman"/>
      <w:sz w:val="18"/>
      <w:szCs w:val="18"/>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character" w:customStyle="1" w:styleId="21">
    <w:name w:val="font51"/>
    <w:basedOn w:val="14"/>
    <w:qFormat/>
    <w:uiPriority w:val="0"/>
    <w:rPr>
      <w:rFonts w:hint="eastAsia" w:ascii="宋体" w:hAnsi="宋体" w:eastAsia="宋体" w:cs="宋体"/>
      <w:color w:val="000000"/>
      <w:sz w:val="20"/>
      <w:szCs w:val="20"/>
      <w:u w:val="none"/>
    </w:rPr>
  </w:style>
  <w:style w:type="paragraph" w:customStyle="1" w:styleId="2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23">
    <w:name w:val="List Paragraph"/>
    <w:basedOn w:val="1"/>
    <w:qFormat/>
    <w:uiPriority w:val="99"/>
    <w:pPr>
      <w:ind w:firstLine="420" w:firstLineChars="200"/>
    </w:pPr>
  </w:style>
  <w:style w:type="character" w:customStyle="1" w:styleId="24">
    <w:name w:val="font11"/>
    <w:basedOn w:val="14"/>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8711</Words>
  <Characters>9871</Characters>
  <Lines>1</Lines>
  <Paragraphs>1</Paragraphs>
  <TotalTime>4</TotalTime>
  <ScaleCrop>false</ScaleCrop>
  <LinksUpToDate>false</LinksUpToDate>
  <CharactersWithSpaces>10101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2022-09-20T10:47:41Z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867DD168B2C647D9ABE6A7074A7968CC</vt:lpwstr>
  </property>
</Properties>
</file>