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157"/>
        <w:gridCol w:w="14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color w:val="000000"/>
                <w:sz w:val="24"/>
                <w:szCs w:val="24"/>
              </w:rPr>
              <w:t>中国能源建设集团南京线路器材有限公司</w:t>
            </w:r>
            <w:bookmarkEnd w:id="0"/>
            <w:r>
              <w:rPr>
                <w:rFonts w:hint="eastAsia"/>
                <w:color w:val="000000"/>
                <w:sz w:val="24"/>
                <w:szCs w:val="24"/>
              </w:rPr>
              <w:t xml:space="preserve">              陪同人员：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杜波</w:t>
            </w:r>
          </w:p>
        </w:tc>
        <w:tc>
          <w:tcPr>
            <w:tcW w:w="1432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bookmarkStart w:id="1" w:name="审核组成员不含组长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范玲玲/</w:t>
            </w:r>
            <w:r>
              <w:rPr>
                <w:rFonts w:hint="eastAsia"/>
                <w:color w:val="000000"/>
                <w:sz w:val="24"/>
                <w:szCs w:val="24"/>
              </w:rPr>
              <w:t>徐申</w:t>
            </w:r>
            <w:bookmarkEnd w:id="1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/李丽英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远程审核采用微信、文件传输、电话、腾讯会议等工具实施审核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 </w:t>
            </w:r>
          </w:p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审核时间：</w:t>
            </w:r>
            <w:bookmarkStart w:id="2" w:name="审核日期"/>
            <w:r>
              <w:rPr>
                <w:color w:val="000000"/>
              </w:rPr>
              <w:t>2022年09月</w:t>
            </w:r>
            <w:r>
              <w:rPr>
                <w:rFonts w:hint="eastAsia"/>
                <w:color w:val="000000"/>
                <w:lang w:val="en-US" w:eastAsia="zh-CN"/>
              </w:rPr>
              <w:t>17</w:t>
            </w:r>
            <w:r>
              <w:rPr>
                <w:color w:val="000000"/>
              </w:rPr>
              <w:t xml:space="preserve">日 </w:t>
            </w:r>
            <w:bookmarkEnd w:id="2"/>
          </w:p>
        </w:tc>
        <w:tc>
          <w:tcPr>
            <w:tcW w:w="1432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432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</w:pPr>
            <w:r>
              <w:rPr>
                <w:rFonts w:hint="eastAsia"/>
              </w:rPr>
              <w:t>现场检查《营业执照》——：</w:t>
            </w: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</w:rPr>
              <w:t xml:space="preserve">正本 □副本； □原件 </w:t>
            </w:r>
            <w:r>
              <w:rPr>
                <w:rFonts w:hint="eastAsia"/>
              </w:rPr>
              <w:sym w:font="Wingdings 2" w:char="0052"/>
            </w:r>
            <w:r>
              <w:rPr>
                <w:rFonts w:hint="eastAsia"/>
                <w:lang w:val="en-US" w:eastAsia="zh-CN"/>
              </w:rPr>
              <w:t>扫描</w:t>
            </w:r>
            <w:r>
              <w:rPr>
                <w:rFonts w:hint="eastAsia"/>
              </w:rPr>
              <w:t>件</w:t>
            </w:r>
          </w:p>
          <w:p>
            <w:pPr>
              <w:spacing w:line="440" w:lineRule="exact"/>
              <w:ind w:firstLine="420" w:firstLineChars="200"/>
            </w:pPr>
            <w:r>
              <w:rPr>
                <w:rFonts w:hint="eastAsia"/>
              </w:rPr>
              <w:t>编号：</w:t>
            </w:r>
            <w:r>
              <w:rPr>
                <w:rFonts w:hint="eastAsia"/>
                <w:lang w:val="en-US" w:eastAsia="zh-CN"/>
              </w:rPr>
              <w:t>913201161348854306</w:t>
            </w:r>
            <w:r>
              <w:rPr>
                <w:rFonts w:hint="eastAsia"/>
              </w:rPr>
              <w:t xml:space="preserve"> ； 有效期：</w:t>
            </w:r>
            <w:r>
              <w:rPr>
                <w:rFonts w:hint="eastAsia"/>
                <w:lang w:val="en-US" w:eastAsia="zh-CN"/>
              </w:rPr>
              <w:t>1991年01月22日至******</w:t>
            </w:r>
            <w:r>
              <w:rPr>
                <w:rFonts w:hint="eastAsia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经营范围的相关描述：电力金具、输变电工程施工机械、电力线路附件、电力工程设备、电线电缆及电工器材、结构性金属制品研究、开发、设计、制造、安装、销售;输配电设备研发与制造:电力设备器材、电站辅机及配套设施、金属材料销售;汽车、机械设备销售、租赁;物业管理;自营和代理各类商品及技术的进出口(国家限定公司经营和禁止进出口的商品和技术除外)。电力设施承装、承修、承试;(依法须经批准的项目，经相关部门批准后方可开展经营活动)</w:t>
            </w:r>
          </w:p>
          <w:p>
            <w:pPr>
              <w:spacing w:line="440" w:lineRule="exact"/>
              <w:ind w:firstLine="420" w:firstLineChars="200"/>
            </w:pPr>
            <w:r>
              <w:rPr>
                <w:rFonts w:hint="eastAsia"/>
              </w:rPr>
              <w:t>许可项目:各类工程建设活动;Ⅱ、Ⅲ类射线装置销售(依法须经批准的项目，经相关部门批准后方可开展经营活动，具体经营项目以审批结果为准)</w:t>
            </w:r>
          </w:p>
          <w:p>
            <w:pPr>
              <w:spacing w:line="440" w:lineRule="exact"/>
              <w:ind w:firstLine="420" w:firstLineChars="200"/>
            </w:pPr>
            <w:r>
              <w:rPr>
                <w:rFonts w:hint="eastAsia"/>
              </w:rPr>
              <w:t>认证申请范围：</w:t>
            </w:r>
            <w:bookmarkStart w:id="3" w:name="审核范围"/>
            <w:r>
              <w:t>电力金具及电力线路附件生产</w:t>
            </w:r>
            <w:r>
              <w:rPr>
                <w:rFonts w:hint="eastAsia"/>
              </w:rPr>
              <w:t>所涉及的能源管理活动</w:t>
            </w:r>
            <w:bookmarkEnd w:id="3"/>
            <w:r>
              <w:rPr>
                <w:rFonts w:hint="eastAsia"/>
              </w:rPr>
              <w:t>；</w:t>
            </w:r>
          </w:p>
          <w:p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4680585" cy="1988185"/>
                  <wp:effectExtent l="0" t="0" r="5715" b="571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58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771650" cy="2179320"/>
                  <wp:effectExtent l="0" t="0" r="6350" b="508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607185" cy="2153285"/>
                  <wp:effectExtent l="0" t="0" r="5715" b="5715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</w:pPr>
            <w:r>
              <w:rPr>
                <w:rFonts w:hint="eastAsia"/>
              </w:rPr>
              <w:t>现场检查《XXX许可证》——：□正本 □副本； □原件 □复印件</w:t>
            </w:r>
          </w:p>
          <w:p>
            <w:pPr>
              <w:spacing w:line="440" w:lineRule="exact"/>
              <w:ind w:firstLine="420" w:firstLineChars="200"/>
            </w:pPr>
            <w:r>
              <w:rPr>
                <w:rFonts w:hint="eastAsia"/>
              </w:rPr>
              <w:t>编号： ； 有效期：；</w:t>
            </w:r>
          </w:p>
          <w:p>
            <w:pPr>
              <w:spacing w:line="440" w:lineRule="exact"/>
              <w:ind w:firstLine="420" w:firstLineChars="200"/>
            </w:pPr>
          </w:p>
          <w:p>
            <w:pPr>
              <w:spacing w:line="44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经营范围的相关描述：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注册地址：</w:t>
            </w:r>
            <w:bookmarkStart w:id="4" w:name="注册地址"/>
            <w:r>
              <w:rPr>
                <w:sz w:val="21"/>
                <w:szCs w:val="21"/>
              </w:rPr>
              <w:t>南京市六合区龙池街道龙华西路9号</w:t>
            </w:r>
            <w:bookmarkEnd w:id="4"/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与《营业执照》内容一致。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经营地址：</w:t>
            </w:r>
            <w:r>
              <w:rPr>
                <w:sz w:val="21"/>
                <w:szCs w:val="21"/>
              </w:rPr>
              <w:t>南京市六合区龙池街道龙华西路9号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与生产或服务现场一致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  <w:p>
            <w:pPr>
              <w:rPr>
                <w:color w:val="000000"/>
              </w:rPr>
            </w:pP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  <w:lang w:eastAsia="zh-CN"/>
              </w:rPr>
              <w:t>□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  <w:lang w:eastAsia="zh-CN"/>
              </w:rPr>
              <w:t>□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生产/服务流程图：</w:t>
            </w:r>
          </w:p>
          <w:p>
            <w:pPr>
              <w:tabs>
                <w:tab w:val="left" w:pos="360"/>
              </w:tabs>
              <w:ind w:left="360" w:hanging="36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原材料检验→熔炼→浇注→开型→去浇冒口→检验→加工→装配→入库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</w:pPr>
            <w:r>
              <w:drawing>
                <wp:inline distT="0" distB="0" distL="114300" distR="114300">
                  <wp:extent cx="4432300" cy="1137285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  <w:ind w:left="1680" w:leftChars="0"/>
            </w:pPr>
          </w:p>
          <w:p>
            <w:pPr>
              <w:pStyle w:val="3"/>
              <w:numPr>
                <w:ilvl w:val="0"/>
                <w:numId w:val="0"/>
              </w:numPr>
            </w:pPr>
            <w:r>
              <w:drawing>
                <wp:inline distT="0" distB="0" distL="114300" distR="114300">
                  <wp:extent cx="4555490" cy="1049020"/>
                  <wp:effectExtent l="0" t="0" r="3810" b="508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49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</w:pPr>
            <w:r>
              <w:drawing>
                <wp:inline distT="0" distB="0" distL="114300" distR="114300">
                  <wp:extent cx="4473575" cy="102679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</w:pPr>
          </w:p>
          <w:p>
            <w:pPr>
              <w:pStyle w:val="3"/>
              <w:numPr>
                <w:ilvl w:val="0"/>
                <w:numId w:val="0"/>
              </w:numPr>
              <w:rPr>
                <w:color w:val="000000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70485</wp:posOffset>
                  </wp:positionV>
                  <wp:extent cx="4316730" cy="1350010"/>
                  <wp:effectExtent l="0" t="0" r="1270" b="889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730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r>
              <w:rPr>
                <w:rFonts w:hint="eastAsia"/>
              </w:rPr>
              <w:t>认证范围内</w:t>
            </w:r>
            <w:r>
              <w:rPr>
                <w:rFonts w:hint="eastAsia"/>
                <w:lang w:val="en-US" w:eastAsia="zh-CN"/>
              </w:rPr>
              <w:t>能源</w:t>
            </w:r>
            <w:r>
              <w:rPr>
                <w:rFonts w:hint="eastAsia"/>
              </w:rPr>
              <w:t>管理体系覆盖的</w:t>
            </w:r>
            <w:r>
              <w:rPr>
                <w:rFonts w:hint="eastAsia"/>
                <w:color w:val="auto"/>
                <w:szCs w:val="21"/>
              </w:rPr>
              <w:t>人数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150</w:t>
            </w:r>
            <w:r>
              <w:rPr>
                <w:rFonts w:hint="eastAsia"/>
                <w:color w:val="auto"/>
                <w:szCs w:val="21"/>
              </w:rPr>
              <w:t>人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  <w:color w:val="auto"/>
                <w:sz w:val="20"/>
              </w:rPr>
              <w:t>公司</w:t>
            </w:r>
            <w:r>
              <w:rPr>
                <w:rFonts w:hint="eastAsia"/>
                <w:color w:val="auto"/>
                <w:szCs w:val="21"/>
              </w:rPr>
              <w:t>总人数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400</w:t>
            </w:r>
            <w:r>
              <w:rPr>
                <w:rFonts w:hint="eastAsia"/>
              </w:rPr>
              <w:t>人）　</w:t>
            </w:r>
          </w:p>
          <w:p/>
          <w:p>
            <w:pPr>
              <w:widowControl/>
              <w:spacing w:after="0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管理人员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30人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，作业人员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120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无班倒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；劳务派遣人员0 人；临时工0 人；其中承包商员工数0人；季节工 0 人。</w:t>
            </w:r>
          </w:p>
          <w:p>
            <w:pPr>
              <w:widowControl/>
              <w:spacing w:after="0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公司占地面积18.7万m2，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注册资金16314万人民币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。主要生产生产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过程及设备包括：机械车间、铸造车间、铆焊车间、锻压车间、辅助生产设备如：高压配电、低压配电、空压站（空压机）等公用工程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；主要生产设备有：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低压铸造机、天然气切割钢材成套设备（天然气）、楔横轧、数控切割机、数控立钻等。</w:t>
            </w:r>
          </w:p>
          <w:p>
            <w:pPr>
              <w:widowControl/>
              <w:spacing w:after="0"/>
              <w:jc w:val="left"/>
              <w:rPr>
                <w:rFonts w:hint="eastAsia" w:eastAsia="宋体"/>
                <w:color w:val="auto"/>
                <w:sz w:val="20"/>
                <w:szCs w:val="2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企业主要消耗能源种类为电力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水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能源计量器具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有电表（一级1块）、水表（一级表1块）；</w:t>
            </w:r>
            <w:r>
              <w:rPr>
                <w:rFonts w:hint="eastAsia"/>
                <w:color w:val="auto"/>
                <w:sz w:val="20"/>
                <w:szCs w:val="22"/>
                <w:lang w:val="en-US" w:eastAsia="zh-CN"/>
              </w:rPr>
              <w:t>各类生产设备386台套</w:t>
            </w:r>
            <w:r>
              <w:rPr>
                <w:rFonts w:hint="eastAsia"/>
                <w:color w:val="auto"/>
                <w:sz w:val="20"/>
                <w:szCs w:val="22"/>
                <w:lang w:eastAsia="zh-CN"/>
              </w:rPr>
              <w:t>。</w:t>
            </w:r>
            <w:bookmarkStart w:id="5" w:name="_GoBack"/>
            <w:bookmarkEnd w:id="5"/>
          </w:p>
          <w:p>
            <w:pPr>
              <w:widowControl/>
              <w:spacing w:after="0"/>
              <w:jc w:val="left"/>
              <w:rPr>
                <w:color w:val="auto"/>
                <w:szCs w:val="21"/>
              </w:rPr>
            </w:pPr>
            <w:r>
              <w:rPr>
                <w:rFonts w:hint="eastAsia"/>
                <w:color w:val="auto"/>
                <w:szCs w:val="21"/>
              </w:rPr>
              <w:t>公司的组织机构：管理层、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质量管理部、生产管理部、人力资源部部、市场营销部</w:t>
            </w:r>
            <w:r>
              <w:rPr>
                <w:rFonts w:hint="eastAsia"/>
                <w:color w:val="auto"/>
                <w:szCs w:val="21"/>
              </w:rPr>
              <w:t>。</w:t>
            </w:r>
          </w:p>
          <w:p>
            <w:pPr>
              <w:pStyle w:val="7"/>
            </w:pP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单班（例如：</w:t>
            </w:r>
            <w:r>
              <w:rPr>
                <w:color w:val="000000"/>
                <w:szCs w:val="21"/>
              </w:rPr>
              <w:t>8:00- 12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:00- 17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Cs w:val="21"/>
                <w:highlight w:val="none"/>
              </w:rPr>
              <w:t>双班</w:t>
            </w:r>
            <w:r>
              <w:rPr>
                <w:rFonts w:hint="eastAsia"/>
                <w:color w:val="000000"/>
                <w:szCs w:val="21"/>
              </w:rPr>
              <w:t>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Cs w:val="21"/>
              </w:rPr>
              <w:t>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lang w:val="en-US" w:eastAsia="zh-CN"/>
              </w:rPr>
              <w:t>能源管理</w:t>
            </w:r>
            <w:r>
              <w:rPr>
                <w:rFonts w:hint="eastAsia"/>
                <w:color w:val="000000"/>
                <w:szCs w:val="18"/>
              </w:rPr>
              <w:t>体系运行时间是否满足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至今管理体系已运行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至今管理体系运行不足3个月以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  <w:color w:val="auto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标准宣贯的时间：</w:t>
            </w:r>
            <w:r>
              <w:rPr>
                <w:rFonts w:hint="eastAsia"/>
                <w:color w:val="auto"/>
                <w:szCs w:val="18"/>
                <w:u w:val="single"/>
              </w:rPr>
              <w:t xml:space="preserve"> 202</w:t>
            </w:r>
            <w:r>
              <w:rPr>
                <w:rFonts w:hint="eastAsia"/>
                <w:color w:val="auto"/>
                <w:szCs w:val="18"/>
                <w:u w:val="single"/>
                <w:lang w:val="en-US" w:eastAsia="zh-CN"/>
              </w:rPr>
              <w:t>1</w:t>
            </w:r>
            <w:r>
              <w:rPr>
                <w:color w:val="auto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auto"/>
                <w:szCs w:val="18"/>
              </w:rPr>
              <w:t>年</w:t>
            </w:r>
            <w:r>
              <w:rPr>
                <w:rFonts w:hint="eastAsia"/>
                <w:color w:val="auto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auto"/>
                <w:szCs w:val="18"/>
                <w:u w:val="single"/>
                <w:lang w:val="en-US" w:eastAsia="zh-CN"/>
              </w:rPr>
              <w:t>12</w:t>
            </w:r>
            <w:r>
              <w:rPr>
                <w:rFonts w:hint="eastAsia"/>
                <w:color w:val="auto"/>
                <w:szCs w:val="18"/>
              </w:rPr>
              <w:t>月</w:t>
            </w:r>
            <w:r>
              <w:rPr>
                <w:rFonts w:hint="eastAsia"/>
                <w:color w:val="auto"/>
                <w:szCs w:val="18"/>
                <w:u w:val="single"/>
                <w:lang w:val="en-US" w:eastAsia="zh-CN"/>
              </w:rPr>
              <w:t>29</w:t>
            </w:r>
            <w:r>
              <w:rPr>
                <w:rFonts w:hint="eastAsia"/>
                <w:color w:val="auto"/>
                <w:szCs w:val="18"/>
              </w:rPr>
              <w:t>日。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□QMS 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E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n</w:t>
            </w:r>
            <w:r>
              <w:rPr>
                <w:rFonts w:hint="eastAsia"/>
                <w:color w:val="000000"/>
                <w:szCs w:val="21"/>
              </w:rPr>
              <w:t xml:space="preserve">MS  □OHSMS  □FSMSMS  □HACCP  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</w:rPr>
              <w:t>□满足要求，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基本满足要求，□不满足要求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</w:t>
            </w:r>
            <w:r>
              <w:rPr>
                <w:rFonts w:hint="eastAsia"/>
                <w:color w:val="000000"/>
                <w:szCs w:val="18"/>
                <w:highlight w:val="none"/>
              </w:rPr>
              <w:t>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已发生，说明：</w:t>
            </w:r>
            <w:r>
              <w:rPr>
                <w:rFonts w:hint="eastAsia"/>
                <w:color w:val="000000"/>
                <w:lang w:val="en-US" w:eastAsia="zh-CN"/>
              </w:rPr>
              <w:t>2022年6月</w:t>
            </w:r>
            <w:r>
              <w:rPr>
                <w:rFonts w:hint="eastAsia"/>
                <w:color w:val="000000"/>
              </w:rPr>
              <w:t>该公司NX303熔铝炉操作人员未落实操作规程要求，熔铝炉配套的除尘器反吹阀门处于关闭状态，除尘设施未正常运行，违反了《中华人民共和国大气污染防治法》第二十条第二款规定。</w:t>
            </w:r>
            <w:r>
              <w:rPr>
                <w:rFonts w:hint="eastAsia"/>
                <w:color w:val="000000"/>
                <w:lang w:val="en-US" w:eastAsia="zh-CN"/>
              </w:rPr>
              <w:t>处罚10万元。已执行完毕。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after="0"/>
              <w:rPr>
                <w:rFonts w:hint="eastAsia" w:eastAsia="宋体"/>
                <w:color w:val="auto"/>
              </w:rPr>
            </w:pPr>
            <w:r>
              <w:rPr>
                <w:rFonts w:hint="eastAsia"/>
                <w:color w:val="000000"/>
                <w:szCs w:val="18"/>
              </w:rPr>
              <w:t>组织文件化的管理方针已制定，内容为：</w:t>
            </w:r>
            <w:r>
              <w:rPr>
                <w:rFonts w:hint="eastAsia" w:eastAsia="宋体"/>
                <w:color w:val="auto"/>
                <w:u w:val="single"/>
              </w:rPr>
              <w:t>遵守法规  清洁生产  创新改造  提高能效。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 w:eastAsia="宋体"/>
                <w:color w:val="auto"/>
              </w:rPr>
              <w:t>贯彻情况：</w:t>
            </w:r>
            <w:r>
              <w:rPr>
                <w:rFonts w:hint="eastAsia" w:eastAsia="宋体"/>
                <w:color w:val="auto"/>
              </w:rPr>
              <w:sym w:font="Wingdings 2" w:char="0052"/>
            </w:r>
            <w:r>
              <w:rPr>
                <w:rFonts w:hint="eastAsia" w:eastAsia="宋体"/>
                <w:color w:val="auto"/>
              </w:rPr>
              <w:t xml:space="preserve">文件发放 □标语 □展板 </w:t>
            </w:r>
            <w:r>
              <w:rPr>
                <w:rFonts w:hint="eastAsia" w:eastAsia="宋体"/>
                <w:color w:val="auto"/>
              </w:rPr>
              <w:sym w:font="Wingdings 2" w:char="0052"/>
            </w:r>
            <w:r>
              <w:rPr>
                <w:rFonts w:hint="eastAsia" w:eastAsia="宋体"/>
                <w:color w:val="auto"/>
              </w:rPr>
              <w:t>网站  □员工手册 □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组织文件化的管理目标已制定，内容为：</w:t>
            </w:r>
          </w:p>
          <w:tbl>
            <w:tblPr>
              <w:tblStyle w:val="9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44"/>
              <w:gridCol w:w="1110"/>
              <w:gridCol w:w="1940"/>
              <w:gridCol w:w="263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目标</w:t>
                  </w:r>
                  <w:r>
                    <w:rPr>
                      <w:rFonts w:hint="eastAsia"/>
                      <w:color w:val="000000"/>
                      <w:szCs w:val="18"/>
                      <w:lang w:val="en-US" w:eastAsia="zh-CN"/>
                    </w:rPr>
                    <w:t>(2022年）</w:t>
                  </w:r>
                </w:p>
              </w:tc>
              <w:tc>
                <w:tcPr>
                  <w:tcW w:w="111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考核频次</w:t>
                  </w:r>
                </w:p>
              </w:tc>
              <w:tc>
                <w:tcPr>
                  <w:tcW w:w="194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计算方法</w:t>
                  </w:r>
                </w:p>
              </w:tc>
              <w:tc>
                <w:tcPr>
                  <w:tcW w:w="263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完成情况（</w:t>
                  </w:r>
                  <w:r>
                    <w:rPr>
                      <w:rFonts w:hint="eastAsia"/>
                      <w:color w:val="000000"/>
                      <w:szCs w:val="18"/>
                      <w:lang w:val="en-US" w:eastAsia="zh-CN"/>
                    </w:rPr>
                    <w:t>2022.1-8</w:t>
                  </w:r>
                  <w:r>
                    <w:rPr>
                      <w:rFonts w:hint="eastAsia"/>
                      <w:color w:val="000000"/>
                      <w:szCs w:val="18"/>
                    </w:rPr>
                    <w:t>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2" w:hRule="atLeast"/>
              </w:trPr>
              <w:tc>
                <w:tcPr>
                  <w:tcW w:w="3444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综合能耗，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1170t</w:t>
                  </w:r>
                  <w:r>
                    <w:rPr>
                      <w:rFonts w:hint="eastAsia" w:ascii="宋体" w:hAnsi="宋体"/>
                      <w:sz w:val="21"/>
                      <w:szCs w:val="21"/>
                    </w:rPr>
                    <w:t>ce</w:t>
                  </w:r>
                </w:p>
              </w:tc>
              <w:tc>
                <w:tcPr>
                  <w:tcW w:w="1110" w:type="dxa"/>
                  <w:vAlign w:val="top"/>
                </w:tcPr>
                <w:p>
                  <w:pPr>
                    <w:jc w:val="left"/>
                    <w:rPr>
                      <w:rFonts w:hint="eastAsia" w:eastAsia="宋体"/>
                      <w:color w:val="000000"/>
                      <w:szCs w:val="18"/>
                      <w:highlight w:val="cyan"/>
                      <w:lang w:val="en-US" w:eastAsia="zh-CN"/>
                    </w:rPr>
                  </w:pP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年</w:t>
                  </w:r>
                </w:p>
              </w:tc>
              <w:tc>
                <w:tcPr>
                  <w:tcW w:w="1940" w:type="dxa"/>
                  <w:vAlign w:val="top"/>
                </w:tcPr>
                <w:p>
                  <w:pPr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按照GB2589计算</w:t>
                  </w:r>
                </w:p>
              </w:tc>
              <w:tc>
                <w:tcPr>
                  <w:tcW w:w="2630" w:type="dxa"/>
                  <w:vAlign w:val="center"/>
                </w:tcPr>
                <w:p>
                  <w:pPr>
                    <w:jc w:val="center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color w:val="auto"/>
                      <w:sz w:val="21"/>
                      <w:szCs w:val="21"/>
                      <w:lang w:val="en-US" w:eastAsia="zh-CN"/>
                    </w:rPr>
                    <w:t>实际完成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 xml:space="preserve">1161.458 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t</w:t>
                  </w:r>
                  <w:r>
                    <w:rPr>
                      <w:rFonts w:hint="eastAsia" w:ascii="宋体" w:hAnsi="宋体"/>
                      <w:sz w:val="21"/>
                      <w:szCs w:val="21"/>
                    </w:rPr>
                    <w:t>ce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44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单位产品综合能耗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60 kg</w:t>
                  </w:r>
                  <w:r>
                    <w:rPr>
                      <w:rFonts w:hint="eastAsia" w:ascii="宋体" w:hAnsi="宋体"/>
                      <w:sz w:val="21"/>
                      <w:szCs w:val="21"/>
                    </w:rPr>
                    <w:t>ce/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台</w:t>
                  </w:r>
                </w:p>
              </w:tc>
              <w:tc>
                <w:tcPr>
                  <w:tcW w:w="1110" w:type="dxa"/>
                  <w:vAlign w:val="top"/>
                </w:tcPr>
                <w:p>
                  <w:pPr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年</w:t>
                  </w:r>
                </w:p>
              </w:tc>
              <w:tc>
                <w:tcPr>
                  <w:tcW w:w="1940" w:type="dxa"/>
                  <w:vAlign w:val="top"/>
                </w:tcPr>
                <w:p>
                  <w:pPr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按照GB2589计算</w:t>
                  </w:r>
                </w:p>
              </w:tc>
              <w:tc>
                <w:tcPr>
                  <w:tcW w:w="2630" w:type="dxa"/>
                  <w:vAlign w:val="center"/>
                </w:tcPr>
                <w:p>
                  <w:pPr>
                    <w:jc w:val="center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color w:val="auto"/>
                      <w:sz w:val="21"/>
                      <w:szCs w:val="21"/>
                      <w:lang w:val="en-US" w:eastAsia="zh-CN"/>
                    </w:rPr>
                    <w:t>实际完成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55.86</w:t>
                  </w:r>
                  <w:r>
                    <w:rPr>
                      <w:rFonts w:hint="eastAsia" w:ascii="宋体" w:hAnsi="宋体" w:cs="Times New Roman"/>
                      <w:color w:val="auto"/>
                      <w:sz w:val="21"/>
                      <w:szCs w:val="21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kg</w:t>
                  </w:r>
                  <w:r>
                    <w:rPr>
                      <w:rFonts w:hint="eastAsia" w:ascii="宋体" w:hAnsi="宋体"/>
                      <w:sz w:val="21"/>
                      <w:szCs w:val="21"/>
                    </w:rPr>
                    <w:t>ce/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台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3444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21"/>
                      <w:szCs w:val="21"/>
                    </w:rPr>
                    <w:t>单位产值综合能耗</w:t>
                  </w:r>
                  <w:r>
                    <w:rPr>
                      <w:rFonts w:hint="eastAsia" w:ascii="宋体" w:hAnsi="宋体"/>
                      <w:sz w:val="21"/>
                      <w:szCs w:val="21"/>
                      <w:lang w:val="en-US" w:eastAsia="zh-CN"/>
                    </w:rPr>
                    <w:t>25kg</w:t>
                  </w:r>
                  <w:r>
                    <w:rPr>
                      <w:rFonts w:hint="eastAsia" w:ascii="宋体" w:hAnsi="宋体"/>
                      <w:sz w:val="21"/>
                      <w:szCs w:val="21"/>
                    </w:rPr>
                    <w:t>ce/万元</w:t>
                  </w:r>
                </w:p>
              </w:tc>
              <w:tc>
                <w:tcPr>
                  <w:tcW w:w="1110" w:type="dxa"/>
                  <w:vAlign w:val="top"/>
                </w:tcPr>
                <w:p>
                  <w:pPr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年</w:t>
                  </w:r>
                </w:p>
              </w:tc>
              <w:tc>
                <w:tcPr>
                  <w:tcW w:w="1940" w:type="dxa"/>
                  <w:vAlign w:val="top"/>
                </w:tcPr>
                <w:p>
                  <w:pPr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sz w:val="21"/>
                      <w:szCs w:val="21"/>
                      <w:lang w:val="en-US" w:eastAsia="zh-CN"/>
                    </w:rPr>
                    <w:t>按照GB2589计算</w:t>
                  </w:r>
                </w:p>
              </w:tc>
              <w:tc>
                <w:tcPr>
                  <w:tcW w:w="2630" w:type="dxa"/>
                  <w:vAlign w:val="center"/>
                </w:tcPr>
                <w:p>
                  <w:pPr>
                    <w:jc w:val="center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 w:cs="Times New Roman"/>
                      <w:color w:val="auto"/>
                      <w:sz w:val="21"/>
                      <w:szCs w:val="21"/>
                      <w:lang w:val="en-US" w:eastAsia="zh-CN"/>
                    </w:rPr>
                    <w:t>实际完成24</w:t>
                  </w:r>
                  <w:r>
                    <w:rPr>
                      <w:rFonts w:hint="eastAsia" w:ascii="宋体" w:hAnsi="宋体" w:eastAsia="宋体" w:cs="Times New Roman"/>
                      <w:color w:val="auto"/>
                      <w:sz w:val="21"/>
                      <w:szCs w:val="21"/>
                      <w:lang w:val="en-US" w:eastAsia="zh-CN"/>
                    </w:rPr>
                    <w:t>.</w:t>
                  </w:r>
                  <w:r>
                    <w:rPr>
                      <w:rFonts w:hint="eastAsia" w:ascii="宋体" w:hAnsi="宋体" w:cs="Times New Roman"/>
                      <w:color w:val="auto"/>
                      <w:sz w:val="21"/>
                      <w:szCs w:val="21"/>
                      <w:lang w:val="en-US" w:eastAsia="zh-CN"/>
                    </w:rPr>
                    <w:t>50kg</w:t>
                  </w:r>
                  <w:r>
                    <w:rPr>
                      <w:rFonts w:hint="eastAsia" w:ascii="宋体" w:hAnsi="宋体"/>
                      <w:sz w:val="21"/>
                      <w:szCs w:val="21"/>
                    </w:rPr>
                    <w:t>ce/万元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11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94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630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-《管理手册》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 xml:space="preserve">份；覆盖了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 xml:space="preserve">0430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color w:val="000000"/>
                <w:spacing w:val="-2"/>
                <w:szCs w:val="21"/>
              </w:rPr>
              <w:t>E</w:t>
            </w:r>
            <w:r>
              <w:rPr>
                <w:rFonts w:hint="eastAsia"/>
                <w:color w:val="000000"/>
                <w:spacing w:val="-2"/>
                <w:szCs w:val="21"/>
                <w:lang w:val="en-US" w:eastAsia="zh-CN"/>
              </w:rPr>
              <w:t>n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000000"/>
                <w:szCs w:val="18"/>
              </w:rPr>
              <w:t>-</w:t>
            </w:r>
            <w:r>
              <w:rPr>
                <w:rFonts w:hint="eastAsia"/>
                <w:color w:val="auto"/>
              </w:rPr>
              <w:t xml:space="preserve">文件化的程序； </w:t>
            </w:r>
            <w:r>
              <w:rPr>
                <w:rFonts w:hint="eastAsia"/>
                <w:color w:val="auto"/>
                <w:lang w:val="en-US" w:eastAsia="zh-CN"/>
              </w:rPr>
              <w:t>25</w:t>
            </w:r>
            <w:r>
              <w:rPr>
                <w:rFonts w:hint="eastAsia"/>
                <w:color w:val="auto"/>
              </w:rPr>
              <w:t xml:space="preserve"> 份；详见《能源管理体系程序文件》清单</w:t>
            </w:r>
          </w:p>
          <w:p>
            <w:pPr>
              <w:spacing w:after="0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- 能源管理文件；  </w:t>
            </w:r>
            <w:r>
              <w:rPr>
                <w:rFonts w:hint="eastAsia"/>
                <w:color w:val="auto"/>
                <w:lang w:val="en-US" w:eastAsia="zh-CN"/>
              </w:rPr>
              <w:t>30份（见文件清单）</w:t>
            </w:r>
            <w:r>
              <w:rPr>
                <w:rFonts w:hint="eastAsia"/>
                <w:color w:val="auto"/>
              </w:rPr>
              <w:t>；</w:t>
            </w:r>
          </w:p>
          <w:p>
            <w:pPr>
              <w:spacing w:after="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 xml:space="preserve">- 记录表格； </w:t>
            </w:r>
            <w:r>
              <w:rPr>
                <w:rFonts w:hint="eastAsia"/>
                <w:color w:val="auto"/>
                <w:lang w:val="en-US" w:eastAsia="zh-CN"/>
              </w:rPr>
              <w:t>37</w:t>
            </w:r>
            <w:r>
              <w:rPr>
                <w:rFonts w:hint="eastAsia"/>
                <w:color w:val="auto"/>
              </w:rPr>
              <w:t xml:space="preserve"> 份</w:t>
            </w:r>
            <w:r>
              <w:rPr>
                <w:rFonts w:hint="eastAsia"/>
                <w:color w:val="auto"/>
                <w:lang w:eastAsia="zh-CN"/>
              </w:rPr>
              <w:t>（</w:t>
            </w:r>
            <w:r>
              <w:rPr>
                <w:rFonts w:hint="eastAsia"/>
                <w:color w:val="auto"/>
                <w:lang w:val="en-US" w:eastAsia="zh-CN"/>
              </w:rPr>
              <w:t>建记录清单</w:t>
            </w:r>
            <w:r>
              <w:rPr>
                <w:rFonts w:hint="eastAsia"/>
                <w:color w:val="auto"/>
                <w:lang w:eastAsia="zh-CN"/>
              </w:rPr>
              <w:t>）</w:t>
            </w:r>
            <w:r>
              <w:rPr>
                <w:rFonts w:hint="eastAsia"/>
                <w:color w:val="auto"/>
              </w:rPr>
              <w:t>；</w:t>
            </w:r>
          </w:p>
          <w:p>
            <w:pPr>
              <w:pStyle w:val="17"/>
              <w:rPr>
                <w:color w:val="000000"/>
              </w:rPr>
            </w:pPr>
            <w:r>
              <w:rPr>
                <w:rFonts w:hint="eastAsia"/>
                <w:color w:val="auto"/>
                <w:lang w:val="en-US" w:eastAsia="zh-CN"/>
              </w:rPr>
              <w:t>- 外来文件：见法律法规及其它要求。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基本</w:t>
            </w:r>
            <w:r>
              <w:rPr>
                <w:rFonts w:hint="eastAsia"/>
                <w:color w:val="000000"/>
              </w:rPr>
              <w:t>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7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5-6</w:t>
            </w:r>
            <w:r>
              <w:rPr>
                <w:rFonts w:hint="eastAsia"/>
                <w:color w:val="000000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不符合项报告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份、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7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</w:t>
            </w:r>
            <w:r>
              <w:rPr>
                <w:rFonts w:hint="eastAsia"/>
                <w:color w:val="000000"/>
                <w:szCs w:val="18"/>
              </w:rPr>
              <w:t>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确认能源消耗的种类：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重点</w:t>
            </w:r>
            <w:r>
              <w:rPr>
                <w:rFonts w:hint="eastAsia"/>
                <w:color w:val="000000"/>
                <w:szCs w:val="18"/>
              </w:rPr>
              <w:t>用能单位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一般用能单位</w:t>
            </w:r>
            <w:r>
              <w:rPr>
                <w:rFonts w:ascii="Wingdings" w:hAnsi="Wingdings"/>
                <w:color w:val="000000"/>
              </w:rPr>
              <w:t>¨¨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能源目标指标完成情况：</w:t>
            </w:r>
          </w:p>
          <w:tbl>
            <w:tblPr>
              <w:tblStyle w:val="9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06"/>
              <w:gridCol w:w="2258"/>
              <w:gridCol w:w="45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能耗指标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完成情况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国家限额指标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地方政府下达的指标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集团或上一级部门下达的指标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本单位制定的目标指标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现有产量与能源评估的产能的对比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2021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产量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  <w:lang w:val="en-US" w:eastAsia="zh-CN"/>
              </w:rPr>
              <w:t xml:space="preserve"> 20790.63</w:t>
            </w:r>
            <w:r>
              <w:rPr>
                <w:rFonts w:hint="eastAsia"/>
                <w:color w:val="000000"/>
                <w:szCs w:val="18"/>
                <w:u w:val="single"/>
                <w:lang w:val="en-US" w:eastAsia="zh-CN"/>
              </w:rPr>
              <w:t>吨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；</w:t>
            </w:r>
            <w:r>
              <w:rPr>
                <w:rFonts w:hint="eastAsia"/>
                <w:color w:val="000000"/>
                <w:szCs w:val="18"/>
              </w:rPr>
              <w:t xml:space="preserve"> 能评的产能：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查看</w:t>
            </w:r>
            <w:r>
              <w:rPr>
                <w:rFonts w:hint="eastAsia"/>
                <w:color w:val="000000"/>
                <w:szCs w:val="18"/>
              </w:rPr>
              <w:t>合规性证明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节能评估报告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节能项目验收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能源审计报告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查看主要能源使用的识别的充分性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了解能源基准和能源绩效参数确定的合理性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pStyle w:val="16"/>
              <w:numPr>
                <w:ilvl w:val="0"/>
                <w:numId w:val="2"/>
              </w:numPr>
              <w:ind w:firstLineChars="0"/>
              <w:rPr>
                <w:color w:val="000000"/>
                <w:sz w:val="21"/>
                <w:szCs w:val="18"/>
              </w:rPr>
            </w:pPr>
            <w:r>
              <w:rPr>
                <w:rFonts w:hint="eastAsia"/>
                <w:color w:val="000000"/>
                <w:sz w:val="21"/>
                <w:szCs w:val="18"/>
              </w:rPr>
              <w:t xml:space="preserve">了解能源数据收集的策划的合理性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-了解适用的能源法律和其他要求的获取、识别和实施情况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FF"/>
                <w:lang w:val="en-US" w:eastAsia="zh-CN"/>
              </w:rPr>
              <w:t>个别标准失效未删除，如GB/T2588标准；个别标准失效未更新，如企业节能量计算方法</w:t>
            </w:r>
            <w:r>
              <w:rPr>
                <w:rFonts w:hint="eastAsia"/>
                <w:color w:val="000000"/>
                <w:lang w:val="en-US" w:eastAsia="zh-CN"/>
              </w:rPr>
              <w:t>。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了解组织能源评审报告的完成情况 </w:t>
            </w:r>
          </w:p>
          <w:p>
            <w:pPr>
              <w:ind w:firstLine="420" w:firstLineChars="2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-近一年是否进行了技术改进？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FF"/>
              </w:rPr>
              <w:t>未发生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szCs w:val="18"/>
              </w:rPr>
              <w:t>：</w:t>
            </w:r>
          </w:p>
          <w:p>
            <w:pPr>
              <w:rPr>
                <w:color w:val="000000"/>
                <w:szCs w:val="18"/>
                <w:highlight w:val="red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-能源采购包括：</w:t>
            </w:r>
          </w:p>
          <w:p>
            <w:pPr>
              <w:ind w:left="210" w:leftChars="100"/>
              <w:rPr>
                <w:color w:val="000000"/>
                <w:shd w:val="pct10" w:color="auto" w:fill="FFFFFF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>油</w:t>
            </w:r>
            <w:r>
              <w:rPr>
                <w:rFonts w:hint="eastAsia"/>
                <w:color w:val="000000"/>
                <w:lang w:eastAsia="zh-CN"/>
              </w:rPr>
              <w:t>（</w:t>
            </w:r>
            <w:r>
              <w:rPr>
                <w:rFonts w:hint="eastAsia"/>
                <w:color w:val="000000"/>
                <w:lang w:val="en-US" w:eastAsia="zh-CN"/>
              </w:rPr>
              <w:t>厂内叉车使用</w:t>
            </w:r>
            <w:r>
              <w:rPr>
                <w:rFonts w:hint="eastAsia"/>
                <w:color w:val="000000"/>
                <w:lang w:eastAsia="zh-CN"/>
              </w:rPr>
              <w:t>）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压缩气体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了解节能知识和技能教育的实施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— 了解主要能源使用情况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气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</w:rPr>
              <w:t>了解节水情况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新鲜水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循环水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除盐水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 </w:t>
            </w:r>
          </w:p>
          <w:p>
            <w:pPr>
              <w:ind w:left="210" w:left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了解主要耗能设备的识别状况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了解主要耗能设备的运行效率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锻</w:t>
            </w:r>
            <w:r>
              <w:rPr>
                <w:rFonts w:hint="eastAsia"/>
                <w:color w:val="000000"/>
                <w:lang w:val="en-US" w:eastAsia="zh-CN"/>
              </w:rPr>
              <w:t>造</w:t>
            </w:r>
            <w:r>
              <w:rPr>
                <w:rFonts w:hint="eastAsia"/>
                <w:color w:val="000000"/>
              </w:rPr>
              <w:t xml:space="preserve">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了解淘汰落后设备的识别情况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/>
                <w:color w:val="0000FF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color w:val="000000"/>
                <w:szCs w:val="18"/>
              </w:rPr>
              <w:t>了解能耗限值达标情况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FF"/>
                <w:szCs w:val="18"/>
                <w:highlight w:val="none"/>
                <w:lang w:val="en-US" w:eastAsia="zh-CN"/>
              </w:rPr>
              <w:t>无限额要求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达标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不达标，原因：————————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rFonts w:hint="default"/>
                <w:color w:val="0000FF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  <w:highlight w:val="none"/>
              </w:rPr>
              <w:t>了解能源计量器具配备情况</w:t>
            </w:r>
            <w:r>
              <w:rPr>
                <w:rFonts w:hint="eastAsia"/>
                <w:color w:val="000000"/>
                <w:szCs w:val="18"/>
                <w:highlight w:val="none"/>
                <w:lang w:eastAsia="zh-CN"/>
              </w:rPr>
              <w:t>：</w:t>
            </w:r>
            <w:r>
              <w:rPr>
                <w:rFonts w:hint="eastAsia" w:ascii="宋体" w:hAnsi="宋体" w:eastAsia="宋体" w:cs="Times New Roman"/>
                <w:color w:val="021DE4"/>
                <w:kern w:val="2"/>
                <w:sz w:val="21"/>
                <w:szCs w:val="22"/>
                <w:lang w:val="en-US" w:eastAsia="zh-CN" w:bidi="ar-SA"/>
              </w:rPr>
              <w:t>水表、电表</w:t>
            </w:r>
            <w:r>
              <w:rPr>
                <w:rFonts w:hint="eastAsia" w:ascii="宋体" w:hAnsi="宋体" w:cs="Times New Roman"/>
                <w:color w:val="021DE4"/>
                <w:kern w:val="2"/>
                <w:sz w:val="21"/>
                <w:szCs w:val="22"/>
                <w:lang w:val="en-US" w:eastAsia="zh-CN" w:bidi="ar-SA"/>
              </w:rPr>
              <w:t>及天然气流</w:t>
            </w:r>
            <w:r>
              <w:rPr>
                <w:rFonts w:hint="eastAsia" w:ascii="宋体" w:hAnsi="宋体" w:eastAsia="宋体" w:cs="Times New Roman"/>
                <w:color w:val="021DE4"/>
                <w:kern w:val="2"/>
                <w:sz w:val="21"/>
                <w:szCs w:val="22"/>
                <w:lang w:val="en-US" w:eastAsia="zh-CN" w:bidi="ar-SA"/>
              </w:rPr>
              <w:t>量计由合作方负责安装和管理，由供方进行检验，企业未获取到相关检定证书。天然气流量计有燃气公司负责安装，</w:t>
            </w:r>
            <w:r>
              <w:rPr>
                <w:rFonts w:hint="eastAsia" w:ascii="宋体" w:hAnsi="宋体" w:cs="Times New Roman"/>
                <w:color w:val="021DE4"/>
                <w:kern w:val="2"/>
                <w:sz w:val="21"/>
                <w:szCs w:val="22"/>
                <w:lang w:val="en-US" w:eastAsia="zh-CN" w:bidi="ar-SA"/>
              </w:rPr>
              <w:t>已</w:t>
            </w:r>
            <w:r>
              <w:rPr>
                <w:rFonts w:hint="eastAsia" w:ascii="宋体" w:hAnsi="宋体" w:eastAsia="宋体" w:cs="Times New Roman"/>
                <w:color w:val="021DE4"/>
                <w:kern w:val="2"/>
                <w:sz w:val="21"/>
                <w:szCs w:val="22"/>
                <w:lang w:val="en-US" w:eastAsia="zh-CN" w:bidi="ar-SA"/>
              </w:rPr>
              <w:t>获取检定证书</w:t>
            </w:r>
            <w:r>
              <w:rPr>
                <w:rFonts w:hint="eastAsia"/>
                <w:color w:val="0000FF"/>
                <w:szCs w:val="18"/>
                <w:highlight w:val="none"/>
                <w:lang w:val="en-US" w:eastAsia="zh-CN"/>
              </w:rPr>
              <w:t>。见二阶段审核记录。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用能单位        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主要次级用能单位</w:t>
            </w:r>
            <w:r>
              <w:rPr>
                <w:rFonts w:hint="eastAsia"/>
                <w:color w:val="000000"/>
                <w:szCs w:val="18"/>
              </w:rPr>
              <w:t xml:space="preserve">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主要用能设备        配备率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/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432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</w:rPr>
              <w:sym w:font="Wingdings 2" w:char="00A3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widowControl/>
              <w:ind w:firstLine="2100" w:firstLineChars="1000"/>
              <w:jc w:val="left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  <w:r>
              <w:rPr>
                <w:rFonts w:hint="eastAsia"/>
                <w:color w:val="000000"/>
                <w:lang w:val="en-US" w:eastAsia="zh-CN"/>
              </w:rPr>
              <w:t>2022年6月</w:t>
            </w:r>
            <w:r>
              <w:rPr>
                <w:rFonts w:hint="eastAsia"/>
                <w:color w:val="000000"/>
              </w:rPr>
              <w:t>该公司NX303熔铝炉操作人员未落实操作规程要求，熔铝炉配套的除尘器反吹阀门处于关闭状态，除尘设施未正常运行，违反了《中华人民共和国大气污染防治法》第二十条第二款规定。</w:t>
            </w:r>
            <w:r>
              <w:rPr>
                <w:rFonts w:hint="eastAsia"/>
                <w:color w:val="000000"/>
                <w:lang w:val="en-US" w:eastAsia="zh-CN"/>
              </w:rPr>
              <w:t>处罚10万元。已执行完毕。</w:t>
            </w:r>
          </w:p>
          <w:p>
            <w:pPr>
              <w:pStyle w:val="2"/>
              <w:rPr>
                <w:color w:val="000000"/>
                <w:u w:val="single"/>
              </w:rPr>
            </w:pPr>
            <w:r>
              <w:drawing>
                <wp:inline distT="0" distB="0" distL="114300" distR="114300">
                  <wp:extent cx="3479800" cy="1607185"/>
                  <wp:effectExtent l="0" t="0" r="0" b="571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16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近一年重大能源事故情况，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查看地理位置图、厂区平面图（适用时）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t>þ</w:t>
            </w:r>
            <w:r>
              <w:rPr>
                <w:rFonts w:hint="eastAsia"/>
                <w:color w:val="000000"/>
              </w:rPr>
              <w:t xml:space="preserve">工业区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巡视办公区域和生产区域的能源管理情况，是否存在：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空调温度控制，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长明灯，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长流水；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天然气使用开关关闭；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</w:t>
            </w:r>
            <w:r>
              <w:rPr>
                <w:rFonts w:hint="eastAsia"/>
                <w:color w:val="000000"/>
                <w:lang w:val="en-US" w:eastAsia="zh-CN"/>
              </w:rPr>
              <w:t>钢</w:t>
            </w:r>
            <w:r>
              <w:rPr>
                <w:rFonts w:hint="eastAsia"/>
                <w:color w:val="000000"/>
              </w:rPr>
              <w:t>厂、</w:t>
            </w:r>
            <w:r>
              <w:rPr>
                <w:rFonts w:hint="eastAsia"/>
                <w:color w:val="000000"/>
                <w:lang w:val="en-US" w:eastAsia="zh-CN"/>
              </w:rPr>
              <w:t>锻造厂及配套的</w:t>
            </w:r>
            <w:r>
              <w:rPr>
                <w:rFonts w:hint="eastAsia"/>
                <w:color w:val="000000"/>
              </w:rPr>
              <w:t>公用工程</w:t>
            </w:r>
            <w:r>
              <w:rPr>
                <w:rFonts w:hint="eastAsia"/>
                <w:color w:val="000000"/>
                <w:lang w:val="en-US" w:eastAsia="zh-CN"/>
              </w:rPr>
              <w:t>设施</w:t>
            </w:r>
            <w:r>
              <w:rPr>
                <w:rFonts w:hint="eastAsia"/>
                <w:color w:val="000000"/>
              </w:rPr>
              <w:t>等），</w:t>
            </w:r>
            <w:r>
              <w:rPr>
                <w:rFonts w:hint="eastAsia"/>
                <w:color w:val="000000"/>
                <w:szCs w:val="18"/>
              </w:rPr>
              <w:t>了解能源使用的种类：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资源能源消耗类：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lang w:val="en-US" w:eastAsia="zh-CN"/>
              </w:rPr>
              <w:t>天然</w:t>
            </w:r>
            <w:r>
              <w:rPr>
                <w:rFonts w:hint="eastAsia"/>
                <w:color w:val="000000"/>
              </w:rPr>
              <w:t xml:space="preserve">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燃料油</w:t>
            </w:r>
            <w:r>
              <w:rPr>
                <w:rFonts w:hint="eastAsia"/>
                <w:color w:val="000000"/>
                <w:lang w:eastAsia="zh-CN"/>
              </w:rPr>
              <w:t>（</w:t>
            </w:r>
            <w:r>
              <w:rPr>
                <w:rFonts w:hint="eastAsia"/>
                <w:color w:val="000000"/>
                <w:lang w:val="en-US" w:eastAsia="zh-CN"/>
              </w:rPr>
              <w:t>厂内叉车</w:t>
            </w:r>
            <w:r>
              <w:rPr>
                <w:rFonts w:hint="eastAsia"/>
                <w:color w:val="000000"/>
                <w:lang w:eastAsia="zh-CN"/>
              </w:rPr>
              <w:t>）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电能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巡视动力设施和辅助设施的状况，关注主要用能场所：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锅炉房 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加热炉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空压机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高压配电室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低压配电室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空压站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污水处理站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改建/扩建施工现场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食堂  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- 观察基础设施（高耗能设备）运行完好：</w:t>
            </w:r>
            <w:r>
              <w:rPr>
                <w:rFonts w:hint="eastAsia"/>
                <w:color w:val="000000"/>
                <w:lang w:val="en-US" w:eastAsia="zh-CN"/>
              </w:rPr>
              <w:t>完好。</w:t>
            </w:r>
            <w:r>
              <w:rPr>
                <w:rFonts w:hint="eastAsia"/>
                <w:color w:val="000000"/>
              </w:rPr>
              <w:t>是否存在低负荷运行——</w:t>
            </w:r>
            <w:r>
              <w:rPr>
                <w:rFonts w:hint="eastAsia"/>
                <w:color w:val="000000"/>
                <w:lang w:val="en-US" w:eastAsia="zh-CN"/>
              </w:rPr>
              <w:t>不存在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电动机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工业锅炉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工业炉窑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反应釜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机床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热处理设备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制冷设备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泵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观察能源相关的监视和测量设备的种类并了解检定/校准情况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Wingdings" w:hAnsi="Wingdings"/>
                <w:color w:val="000000"/>
                <w:lang w:val="en-US" w:eastAsia="zh-CN"/>
              </w:rPr>
              <w:t>天然气</w:t>
            </w:r>
            <w:r>
              <w:rPr>
                <w:color w:val="000000"/>
              </w:rPr>
              <w:t>流量计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温度计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氧化锆测定仪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压力表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电流表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电压表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  <w:r>
              <w:rPr>
                <w:rFonts w:hint="eastAsia"/>
                <w:color w:val="000000"/>
                <w:lang w:val="en-US" w:eastAsia="zh-CN"/>
              </w:rPr>
              <w:t>水表</w:t>
            </w:r>
          </w:p>
          <w:p>
            <w:pPr>
              <w:widowControl/>
              <w:spacing w:before="40"/>
              <w:jc w:val="left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- 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numPr>
                <w:ilvl w:val="0"/>
                <w:numId w:val="3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认证范围变更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15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识别二阶段审核的资源配置情况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□交通食宿  □劳保用品  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其他：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审核组成员的可接受性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>一阶段的问题已整改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432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/>
    <w:p>
      <w:pPr>
        <w:pStyle w:val="5"/>
        <w:rPr>
          <w:rFonts w:hint="eastAsia"/>
        </w:rPr>
      </w:pPr>
      <w:r>
        <w:rPr>
          <w:rFonts w:hint="eastAsia"/>
        </w:rPr>
        <w:t>说明：不符合标注N</w:t>
      </w:r>
    </w:p>
    <w:p>
      <w:pPr>
        <w:pStyle w:val="5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37.9pt;margin-top:2.6pt;height:20.2pt;width:85.7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13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6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7A16B35"/>
    <w:multiLevelType w:val="multilevel"/>
    <w:tmpl w:val="37A16B35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37B67F9"/>
    <w:multiLevelType w:val="singleLevel"/>
    <w:tmpl w:val="637B67F9"/>
    <w:lvl w:ilvl="0" w:tentative="0">
      <w:start w:val="1"/>
      <w:numFmt w:val="bullet"/>
      <w:pStyle w:val="3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66E020B"/>
    <w:rsid w:val="0B5E2353"/>
    <w:rsid w:val="0BA12A64"/>
    <w:rsid w:val="0FA224BA"/>
    <w:rsid w:val="11175641"/>
    <w:rsid w:val="121732E0"/>
    <w:rsid w:val="12EC23EF"/>
    <w:rsid w:val="156A3BAF"/>
    <w:rsid w:val="18841E9A"/>
    <w:rsid w:val="1983388A"/>
    <w:rsid w:val="1B07591F"/>
    <w:rsid w:val="1D210077"/>
    <w:rsid w:val="23F147A2"/>
    <w:rsid w:val="270F0A89"/>
    <w:rsid w:val="2D5B3B59"/>
    <w:rsid w:val="328F2CFE"/>
    <w:rsid w:val="353F42CE"/>
    <w:rsid w:val="363737F2"/>
    <w:rsid w:val="395F39C6"/>
    <w:rsid w:val="45AC72ED"/>
    <w:rsid w:val="4DC07B47"/>
    <w:rsid w:val="555D6BED"/>
    <w:rsid w:val="57020662"/>
    <w:rsid w:val="5DE33377"/>
    <w:rsid w:val="5ECE2C9A"/>
    <w:rsid w:val="60CB6DEC"/>
    <w:rsid w:val="64B6778F"/>
    <w:rsid w:val="652F1BCA"/>
    <w:rsid w:val="6B542560"/>
    <w:rsid w:val="6ECB59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sz w:val="24"/>
    </w:rPr>
  </w:style>
  <w:style w:type="paragraph" w:styleId="3">
    <w:name w:val="List Bullet 5"/>
    <w:basedOn w:val="1"/>
    <w:semiHidden/>
    <w:unhideWhenUsed/>
    <w:uiPriority w:val="99"/>
    <w:pPr>
      <w:numPr>
        <w:ilvl w:val="0"/>
        <w:numId w:val="1"/>
      </w:numPr>
    </w:p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2"/>
    <w:unhideWhenUsed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customStyle="1" w:styleId="12">
    <w:name w:val="页眉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Char"/>
    <w:basedOn w:val="10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sz w:val="24"/>
    </w:rPr>
  </w:style>
  <w:style w:type="paragraph" w:customStyle="1" w:styleId="17">
    <w:name w:val="表格文字"/>
    <w:basedOn w:val="1"/>
    <w:qFormat/>
    <w:uiPriority w:val="0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1954</Words>
  <Characters>11144</Characters>
  <Lines>92</Lines>
  <Paragraphs>26</Paragraphs>
  <TotalTime>2</TotalTime>
  <ScaleCrop>false</ScaleCrop>
  <LinksUpToDate>false</LinksUpToDate>
  <CharactersWithSpaces>13072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丽英</cp:lastModifiedBy>
  <dcterms:modified xsi:type="dcterms:W3CDTF">2022-09-20T08:50:29Z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2052-11.1.0.10314</vt:lpwstr>
  </property>
</Properties>
</file>