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0022-2020-QF-2022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27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浙江优百润食品有限公司</w:t>
            </w:r>
            <w:bookmarkEnd w:id="1"/>
          </w:p>
        </w:tc>
        <w:tc>
          <w:tcPr>
            <w:tcW w:w="1279"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2067"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肖新龙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279" w:type="dxa"/>
          </w:tcPr>
          <w:p>
            <w:pPr>
              <w:snapToGrid w:val="0"/>
              <w:spacing w:line="0" w:lineRule="atLeast"/>
              <w:jc w:val="center"/>
              <w:rPr>
                <w:sz w:val="22"/>
                <w:szCs w:val="22"/>
              </w:rPr>
            </w:pPr>
            <w:r>
              <w:rPr>
                <w:rFonts w:hint="eastAsia"/>
                <w:sz w:val="22"/>
                <w:szCs w:val="22"/>
                <w:lang w:val="en-GB"/>
              </w:rPr>
              <w:t>证书号</w:t>
            </w:r>
          </w:p>
        </w:tc>
        <w:tc>
          <w:tcPr>
            <w:tcW w:w="2067" w:type="dxa"/>
          </w:tcPr>
          <w:p>
            <w:pPr>
              <w:snapToGrid w:val="0"/>
              <w:spacing w:line="0" w:lineRule="atLeast"/>
              <w:jc w:val="center"/>
              <w:rPr>
                <w:sz w:val="22"/>
                <w:szCs w:val="22"/>
              </w:rPr>
            </w:pPr>
            <w:bookmarkStart w:id="3" w:name="证书编号"/>
            <w:r>
              <w:rPr>
                <w:sz w:val="22"/>
                <w:szCs w:val="22"/>
              </w:rPr>
              <w:t>Q:ISC-Q-2020-0994,F:197FSMS2000023</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913307037046518649</w:t>
            </w:r>
            <w:bookmarkEnd w:id="4"/>
          </w:p>
        </w:tc>
        <w:tc>
          <w:tcPr>
            <w:tcW w:w="1279" w:type="dxa"/>
          </w:tcPr>
          <w:p>
            <w:pPr>
              <w:snapToGrid w:val="0"/>
              <w:spacing w:line="0" w:lineRule="atLeast"/>
              <w:jc w:val="center"/>
              <w:rPr>
                <w:sz w:val="22"/>
                <w:szCs w:val="22"/>
              </w:rPr>
            </w:pPr>
            <w:r>
              <w:rPr>
                <w:rFonts w:hint="eastAsia"/>
                <w:sz w:val="22"/>
                <w:szCs w:val="22"/>
              </w:rPr>
              <w:t>是否带CNAS标志</w:t>
            </w:r>
          </w:p>
        </w:tc>
        <w:tc>
          <w:tcPr>
            <w:tcW w:w="2067" w:type="dxa"/>
          </w:tcPr>
          <w:p>
            <w:pPr>
              <w:snapToGrid w:val="0"/>
              <w:spacing w:line="240" w:lineRule="auto"/>
              <w:rPr>
                <w:rFonts w:hint="default" w:eastAsia="宋体"/>
                <w:sz w:val="22"/>
                <w:szCs w:val="22"/>
                <w:lang w:val="en-US" w:eastAsia="zh-CN"/>
              </w:rPr>
            </w:pPr>
            <w:bookmarkStart w:id="5" w:name="认可标志"/>
            <w:r>
              <w:rPr>
                <w:rFonts w:hint="default" w:eastAsia="宋体"/>
                <w:sz w:val="22"/>
                <w:szCs w:val="22"/>
                <w:lang w:val="en-US" w:eastAsia="zh-CN"/>
              </w:rPr>
              <w:t>Q:无CNAS标志,F:无CNAS标志</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w:t>
            </w:r>
            <w:r>
              <w:rPr>
                <w:rFonts w:hint="eastAsia"/>
                <w:sz w:val="22"/>
                <w:szCs w:val="22"/>
                <w:lang w:eastAsia="zh-CN"/>
              </w:rPr>
              <w:t>——</w:t>
            </w:r>
            <w:r>
              <w:rPr>
                <w:rFonts w:hint="eastAsia"/>
                <w:sz w:val="22"/>
                <w:szCs w:val="22"/>
              </w:rPr>
              <w:t>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14881-2013&amp;危害分析与关键控制点（HACCP体系）认证补充要求 1.0</w:t>
            </w:r>
          </w:p>
        </w:tc>
        <w:tc>
          <w:tcPr>
            <w:tcW w:w="1279" w:type="dxa"/>
          </w:tcPr>
          <w:p>
            <w:pPr>
              <w:snapToGrid w:val="0"/>
              <w:spacing w:line="0" w:lineRule="atLeast"/>
              <w:jc w:val="center"/>
              <w:rPr>
                <w:sz w:val="22"/>
                <w:szCs w:val="22"/>
              </w:rPr>
            </w:pPr>
            <w:r>
              <w:rPr>
                <w:rFonts w:hint="eastAsia"/>
                <w:sz w:val="22"/>
                <w:szCs w:val="22"/>
              </w:rPr>
              <w:t>企业体系有效人数</w:t>
            </w:r>
          </w:p>
        </w:tc>
        <w:tc>
          <w:tcPr>
            <w:tcW w:w="2067" w:type="dxa"/>
          </w:tcPr>
          <w:p>
            <w:pPr>
              <w:snapToGrid w:val="0"/>
              <w:spacing w:line="0" w:lineRule="atLeast"/>
              <w:jc w:val="center"/>
              <w:rPr>
                <w:sz w:val="22"/>
                <w:szCs w:val="22"/>
              </w:rPr>
            </w:pPr>
            <w:bookmarkStart w:id="13" w:name="体系人数"/>
            <w:r>
              <w:rPr>
                <w:sz w:val="22"/>
                <w:szCs w:val="22"/>
              </w:rPr>
              <w:t>Q:43,F:43</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373" w:type="dxa"/>
          </w:tcPr>
          <w:p>
            <w:pPr>
              <w:snapToGrid w:val="0"/>
              <w:spacing w:line="0" w:lineRule="atLeast"/>
              <w:jc w:val="left"/>
              <w:rPr>
                <w:sz w:val="22"/>
                <w:szCs w:val="22"/>
                <w:lang w:val="en-GB"/>
              </w:rPr>
            </w:pPr>
            <w:bookmarkStart w:id="18" w:name="组织名称Add1"/>
            <w:r>
              <w:rPr>
                <w:rFonts w:hint="eastAsia"/>
                <w:sz w:val="22"/>
                <w:szCs w:val="22"/>
              </w:rPr>
              <w:t>浙江优百润食品有限公司</w:t>
            </w:r>
            <w:bookmarkEnd w:id="18"/>
          </w:p>
        </w:tc>
        <w:tc>
          <w:tcPr>
            <w:tcW w:w="5013" w:type="dxa"/>
            <w:gridSpan w:val="4"/>
            <w:vMerge w:val="restart"/>
          </w:tcPr>
          <w:p>
            <w:pPr>
              <w:snapToGrid w:val="0"/>
              <w:spacing w:line="0" w:lineRule="atLeast"/>
              <w:jc w:val="left"/>
              <w:rPr>
                <w:sz w:val="22"/>
                <w:szCs w:val="22"/>
              </w:rPr>
            </w:pPr>
            <w:bookmarkStart w:id="19" w:name="审核范围"/>
            <w:r>
              <w:rPr>
                <w:sz w:val="22"/>
                <w:szCs w:val="22"/>
              </w:rPr>
              <w:t>Q：冷冻食品（冰淇淋、雪糕、雪泥、冰棍、甜味冰）、速食米面食品（生制品、熟制品）和发糕的生产</w:t>
            </w:r>
          </w:p>
          <w:p>
            <w:pPr>
              <w:snapToGrid w:val="0"/>
              <w:spacing w:line="0" w:lineRule="atLeast"/>
              <w:jc w:val="left"/>
              <w:rPr>
                <w:sz w:val="22"/>
                <w:szCs w:val="22"/>
              </w:rPr>
            </w:pPr>
            <w:r>
              <w:rPr>
                <w:sz w:val="22"/>
                <w:szCs w:val="22"/>
              </w:rPr>
              <w:t>F：位于</w:t>
            </w:r>
            <w:r>
              <w:rPr>
                <w:rFonts w:hint="eastAsia"/>
                <w:sz w:val="22"/>
                <w:szCs w:val="22"/>
                <w:lang w:val="en-US" w:eastAsia="zh-CN"/>
              </w:rPr>
              <w:t>浙江省金华市金东区澧浦镇澧兴路278号</w:t>
            </w:r>
            <w:r>
              <w:rPr>
                <w:sz w:val="22"/>
                <w:szCs w:val="22"/>
              </w:rPr>
              <w:t>浙江优百润食品有限公司冷冻车间的冷冻食品（冰淇淋、雪糕、雪泥、冰棍、甜味冰）、手抓饼车间的速冻面米食品（生制品、熟制品）和发糕车间的发糕的生产</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浙江</w:t>
            </w:r>
            <w:r>
              <w:rPr>
                <w:rFonts w:hint="eastAsia"/>
                <w:sz w:val="22"/>
                <w:szCs w:val="22"/>
                <w:lang w:val="en-US" w:eastAsia="zh-CN"/>
              </w:rPr>
              <w:t>省</w:t>
            </w:r>
            <w:r>
              <w:rPr>
                <w:rFonts w:hint="eastAsia"/>
                <w:sz w:val="22"/>
                <w:szCs w:val="22"/>
                <w:lang w:val="en-GB"/>
              </w:rPr>
              <w:t>金华市金东区灃浦镇工业区</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US" w:eastAsia="zh-CN"/>
              </w:rPr>
              <w:t>生产</w:t>
            </w:r>
            <w:r>
              <w:rPr>
                <w:rFonts w:hint="eastAsia"/>
                <w:sz w:val="22"/>
                <w:szCs w:val="22"/>
                <w:lang w:val="en-GB"/>
              </w:rPr>
              <w:t>地址</w:t>
            </w:r>
          </w:p>
        </w:tc>
        <w:tc>
          <w:tcPr>
            <w:tcW w:w="3373" w:type="dxa"/>
          </w:tcPr>
          <w:p>
            <w:pPr>
              <w:snapToGrid w:val="0"/>
              <w:spacing w:line="0" w:lineRule="atLeast"/>
              <w:jc w:val="left"/>
              <w:rPr>
                <w:sz w:val="22"/>
                <w:szCs w:val="22"/>
              </w:rPr>
            </w:pPr>
            <w:r>
              <w:rPr>
                <w:rFonts w:hint="eastAsia" w:asciiTheme="minorEastAsia" w:hAnsiTheme="minorEastAsia" w:eastAsiaTheme="minorEastAsia"/>
                <w:color w:val="0000FF"/>
                <w:sz w:val="20"/>
                <w:lang w:val="en-US" w:eastAsia="zh-CN"/>
              </w:rPr>
              <w:t>浙江省金华市金东区澧浦镇澧兴路278号</w:t>
            </w:r>
            <w:bookmarkStart w:id="21" w:name="_GoBack"/>
            <w:bookmarkEnd w:id="21"/>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279" w:type="dxa"/>
          </w:tcPr>
          <w:p>
            <w:pPr>
              <w:snapToGrid w:val="0"/>
              <w:spacing w:line="0" w:lineRule="atLeast"/>
              <w:jc w:val="left"/>
              <w:rPr>
                <w:sz w:val="22"/>
                <w:szCs w:val="22"/>
              </w:rPr>
            </w:pPr>
            <w:r>
              <w:rPr>
                <w:rFonts w:hint="eastAsia"/>
                <w:sz w:val="22"/>
                <w:szCs w:val="18"/>
              </w:rPr>
              <w:t>审核组长签字</w:t>
            </w:r>
          </w:p>
        </w:tc>
        <w:tc>
          <w:tcPr>
            <w:tcW w:w="2067"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sz w:val="21"/>
          <w:szCs w:val="21"/>
        </w:rPr>
      </w:pPr>
    </w:p>
    <w:p>
      <w:pPr>
        <w:snapToGrid w:val="0"/>
        <w:spacing w:line="360" w:lineRule="auto"/>
        <w:rPr>
          <w:sz w:val="21"/>
          <w:szCs w:val="21"/>
        </w:rPr>
      </w:pPr>
      <w:r>
        <w:rPr>
          <w:rFonts w:hint="eastAsia"/>
          <w:sz w:val="21"/>
          <w:szCs w:val="21"/>
        </w:rPr>
        <w:t>注：</w:t>
      </w:r>
    </w:p>
    <w:p>
      <w:pPr>
        <w:snapToGrid w:val="0"/>
        <w:spacing w:line="360" w:lineRule="auto"/>
        <w:rPr>
          <w:sz w:val="21"/>
          <w:szCs w:val="21"/>
        </w:rPr>
      </w:pPr>
      <w:r>
        <w:rPr>
          <w:rFonts w:hint="eastAsia"/>
          <w:sz w:val="21"/>
          <w:szCs w:val="21"/>
        </w:rPr>
        <w:t>1、填写本说明并不代表贵单位已通过认证；</w:t>
      </w:r>
    </w:p>
    <w:p>
      <w:pPr>
        <w:snapToGrid w:val="0"/>
        <w:spacing w:line="360" w:lineRule="auto"/>
        <w:rPr>
          <w:sz w:val="21"/>
          <w:szCs w:val="21"/>
        </w:rPr>
      </w:pPr>
      <w:r>
        <w:rPr>
          <w:rFonts w:hint="eastAsia"/>
          <w:sz w:val="21"/>
          <w:szCs w:val="21"/>
        </w:rPr>
        <w:t>2、本说明中填写的管理体系覆盖范围，应与末次会议上宣布的及审核报告上确认的范围一致；</w:t>
      </w:r>
    </w:p>
    <w:p>
      <w:pPr>
        <w:snapToGrid w:val="0"/>
        <w:spacing w:line="360" w:lineRule="auto"/>
        <w:rPr>
          <w:sz w:val="21"/>
          <w:szCs w:val="21"/>
        </w:rPr>
      </w:pPr>
      <w:r>
        <w:rPr>
          <w:rFonts w:hint="eastAsia"/>
          <w:sz w:val="21"/>
          <w:szCs w:val="21"/>
        </w:rPr>
        <w:t>3、请在申请认证组织名称处加盖公章；</w:t>
      </w:r>
    </w:p>
    <w:p>
      <w:pPr>
        <w:snapToGrid w:val="0"/>
        <w:spacing w:line="360" w:lineRule="auto"/>
        <w:rPr>
          <w:sz w:val="21"/>
          <w:szCs w:val="21"/>
        </w:rPr>
      </w:pPr>
      <w:r>
        <w:rPr>
          <w:rFonts w:hint="eastAsia"/>
          <w:sz w:val="21"/>
          <w:szCs w:val="21"/>
        </w:rPr>
        <w:t>4、组织三个地址一致时只需填写一个，其余填“同上”，不同时分别填写；</w:t>
      </w:r>
    </w:p>
    <w:p>
      <w:pPr>
        <w:snapToGrid w:val="0"/>
        <w:spacing w:line="360" w:lineRule="auto"/>
        <w:rPr>
          <w:sz w:val="21"/>
          <w:szCs w:val="21"/>
        </w:rPr>
      </w:pPr>
      <w:r>
        <w:rPr>
          <w:rFonts w:hint="eastAsia"/>
          <w:sz w:val="21"/>
          <w:szCs w:val="21"/>
        </w:rPr>
        <w:t>5、组织需自行提供英文版认证证书信息。</w:t>
      </w:r>
    </w:p>
    <w:p>
      <w:pPr>
        <w:snapToGrid w:val="0"/>
        <w:spacing w:line="360" w:lineRule="auto"/>
        <w:rPr>
          <w:sz w:val="21"/>
          <w:szCs w:val="21"/>
        </w:rPr>
      </w:pPr>
      <w:r>
        <w:rPr>
          <w:rFonts w:hint="eastAsia"/>
          <w:sz w:val="21"/>
          <w:szCs w:val="21"/>
        </w:rPr>
        <w:t>6、组织如不能自行提供英文信息的，公司可协助翻译，组织需缴纳翻译费200元；</w:t>
      </w:r>
    </w:p>
    <w:p>
      <w:pPr>
        <w:snapToGrid w:val="0"/>
        <w:spacing w:line="360" w:lineRule="auto"/>
        <w:rPr>
          <w:sz w:val="21"/>
          <w:szCs w:val="21"/>
        </w:rPr>
      </w:pPr>
      <w:r>
        <w:rPr>
          <w:rFonts w:hint="eastAsia"/>
          <w:sz w:val="21"/>
          <w:szCs w:val="21"/>
        </w:rPr>
        <w:t>7、翻译费用可直接与审核费用一同汇入我公司账户或由审核组长从现场带回。</w:t>
      </w: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I4MGQzYmZlYjc0MTg3YzE3NjNlNzg5YWY5YjI1NjgifQ=="/>
  </w:docVars>
  <w:rsids>
    <w:rsidRoot w:val="00000000"/>
    <w:rsid w:val="17BA02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1151</Words>
  <Characters>1976</Characters>
  <Lines>18</Lines>
  <Paragraphs>5</Paragraphs>
  <TotalTime>4</TotalTime>
  <ScaleCrop>false</ScaleCrop>
  <LinksUpToDate>false</LinksUpToDate>
  <CharactersWithSpaces>2193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肖新龙</cp:lastModifiedBy>
  <cp:lastPrinted>2019-05-13T03:13:00Z</cp:lastPrinted>
  <dcterms:modified xsi:type="dcterms:W3CDTF">2022-09-22T02:53:37Z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2052-11.1.0.12358</vt:lpwstr>
  </property>
</Properties>
</file>