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0858-2021-QEO-2022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重庆欧祥服饰有限公司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重庆欧祥服饰有限公司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重庆市沙坪坝区荔枝桥13号附11号23-3</w:t>
            </w:r>
            <w:bookmarkEnd w:id="6"/>
          </w:p>
        </w:tc>
        <w:tc>
          <w:tcPr>
            <w:tcW w:w="1242" w:type="dxa"/>
            <w:vMerge w:val="restart"/>
            <w:vAlign w:val="center"/>
          </w:tcPr>
          <w:p>
            <w:r>
              <w:rPr>
                <w:rFonts w:hint="eastAsia"/>
              </w:rPr>
              <w:t>邮编</w:t>
            </w:r>
          </w:p>
        </w:tc>
        <w:tc>
          <w:tcPr>
            <w:tcW w:w="1771" w:type="dxa"/>
          </w:tcPr>
          <w:p>
            <w:bookmarkStart w:id="7" w:name="注册邮编"/>
            <w:r>
              <w:t>40003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重庆市九龙坡区华岩镇新镇七社玉清寺针织厂内</w:t>
            </w:r>
            <w:bookmarkEnd w:id="8"/>
          </w:p>
        </w:tc>
        <w:tc>
          <w:tcPr>
            <w:tcW w:w="1242" w:type="dxa"/>
            <w:vMerge w:val="continue"/>
            <w:vAlign w:val="center"/>
          </w:tcPr>
          <w:p/>
        </w:tc>
        <w:tc>
          <w:tcPr>
            <w:tcW w:w="1771" w:type="dxa"/>
          </w:tcPr>
          <w:p>
            <w:bookmarkStart w:id="9" w:name="办公邮编"/>
            <w:r>
              <w:t>400038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刘丽丽</w:t>
            </w:r>
            <w:bookmarkEnd w:id="10"/>
          </w:p>
        </w:tc>
        <w:tc>
          <w:tcPr>
            <w:tcW w:w="1313" w:type="dxa"/>
            <w:vAlign w:val="center"/>
          </w:tcPr>
          <w:p>
            <w:r>
              <w:rPr>
                <w:rFonts w:hint="eastAsia"/>
              </w:rPr>
              <w:t>电话.</w:t>
            </w:r>
          </w:p>
        </w:tc>
        <w:tc>
          <w:tcPr>
            <w:tcW w:w="2180" w:type="dxa"/>
            <w:vAlign w:val="center"/>
          </w:tcPr>
          <w:p>
            <w:bookmarkStart w:id="11" w:name="联系人电话"/>
            <w:r>
              <w:t>18983655888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刘丽丽</w:t>
            </w:r>
            <w:bookmarkEnd w:id="13"/>
          </w:p>
        </w:tc>
        <w:tc>
          <w:tcPr>
            <w:tcW w:w="1313" w:type="dxa"/>
            <w:vAlign w:val="center"/>
          </w:tcPr>
          <w:p>
            <w:r>
              <w:rPr>
                <w:rFonts w:hint="eastAsia"/>
              </w:rPr>
              <w:t>管理者代表</w:t>
            </w:r>
          </w:p>
        </w:tc>
        <w:tc>
          <w:tcPr>
            <w:tcW w:w="2180" w:type="dxa"/>
          </w:tcPr>
          <w:p>
            <w:bookmarkStart w:id="14" w:name="管理者代表"/>
            <w:r>
              <w:t>李四冬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产品</w:t>
            </w:r>
            <w:r>
              <w:rPr>
                <w:rFonts w:hint="eastAsia" w:ascii="宋体" w:hAnsi="宋体"/>
                <w:color w:val="auto"/>
                <w:sz w:val="21"/>
                <w:szCs w:val="21"/>
                <w:highlight w:val="none"/>
                <w:lang w:val="en-US" w:eastAsia="zh-CN"/>
              </w:rPr>
              <w:t>加工</w:t>
            </w:r>
            <w:r>
              <w:rPr>
                <w:rFonts w:hint="eastAsia" w:ascii="宋体" w:hAnsi="宋体"/>
                <w:color w:val="auto"/>
                <w:sz w:val="21"/>
                <w:szCs w:val="21"/>
                <w:highlight w:val="none"/>
              </w:rPr>
              <w:t>工艺：</w:t>
            </w:r>
          </w:p>
          <w:p>
            <w:pPr>
              <w:spacing w:line="276" w:lineRule="auto"/>
            </w:pPr>
            <w:r>
              <w:rPr>
                <w:rFonts w:hint="eastAsia" w:ascii="宋体" w:hAnsi="宋体"/>
                <w:color w:val="auto"/>
                <w:sz w:val="21"/>
                <w:szCs w:val="21"/>
                <w:highlight w:val="none"/>
                <w:lang w:bidi="ar"/>
              </w:rPr>
              <w:t>合同签订----制版----剪裁----缝制----整烫----锁眼钉扣----检验----包装入库----交付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2022年09月18日 上午至2022年09月18日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重庆市九龙坡区华岩镇新镇七社玉清寺针织厂内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Q：服装（西服、衬衣、标志服、反光标志服、防寒服、环卫服、雨衣）的加工、销售。</w:t>
            </w:r>
          </w:p>
          <w:p>
            <w:r>
              <w:t>E：服装（西服、衬衣、标志服、反光标志服、防寒服、环卫服、雨衣）的加工、销售所涉及场所的相关环境管理活动</w:t>
            </w:r>
          </w:p>
          <w:p>
            <w:r>
              <w:t>O：服装（西服、衬衣、标志服、反光标志服、防寒服、环卫服、雨衣）的加工、销售所涉及场所的相关职业健康安全管理活动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Q：04.05.02;04.05.03;04.05.05</w:t>
            </w:r>
          </w:p>
          <w:p>
            <w:r>
              <w:t>E：04.05.02;04.05.03;04.05.05</w:t>
            </w:r>
          </w:p>
          <w:p>
            <w:r>
              <w:t>O：04.05.02;04.05.03;04.05.05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auto"/>
                <w:sz w:val="21"/>
                <w:szCs w:val="21"/>
                <w:highlight w:val="none"/>
              </w:rPr>
              <w:t>2021年08月31日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ascii="Times New Roman" w:hAnsi="Times New Roman" w:eastAsia="宋体" w:cs="Times New Roman"/>
              </w:rPr>
              <w:t>至2024-07-29</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22"/>
        <w:gridCol w:w="1778"/>
        <w:gridCol w:w="711"/>
        <w:gridCol w:w="2711"/>
        <w:gridCol w:w="111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92" w:type="dxa"/>
            <w:shd w:val="clear" w:color="auto" w:fill="F3F3F3"/>
            <w:tcMar>
              <w:left w:w="57" w:type="dxa"/>
              <w:right w:w="57" w:type="dxa"/>
            </w:tcMar>
          </w:tcPr>
          <w:p>
            <w:r>
              <w:rPr>
                <w:rFonts w:hint="eastAsia"/>
              </w:rPr>
              <w:t>场所编号</w:t>
            </w:r>
          </w:p>
          <w:p>
            <w:r>
              <w:rPr>
                <w:rFonts w:hint="eastAsia"/>
              </w:rPr>
              <w:t>(分证书序号）</w:t>
            </w:r>
          </w:p>
        </w:tc>
        <w:tc>
          <w:tcPr>
            <w:tcW w:w="2022" w:type="dxa"/>
            <w:shd w:val="clear" w:color="auto" w:fill="F3F3F3"/>
            <w:tcMar>
              <w:left w:w="57" w:type="dxa"/>
              <w:right w:w="57" w:type="dxa"/>
            </w:tcMar>
          </w:tcPr>
          <w:p>
            <w:r>
              <w:rPr>
                <w:rFonts w:hint="eastAsia"/>
              </w:rPr>
              <w:t>组织名称及注册场所地址</w:t>
            </w:r>
          </w:p>
        </w:tc>
        <w:tc>
          <w:tcPr>
            <w:tcW w:w="1778" w:type="dxa"/>
            <w:shd w:val="clear" w:color="auto" w:fill="F3F3F3"/>
            <w:tcMar>
              <w:left w:w="57" w:type="dxa"/>
              <w:right w:w="57" w:type="dxa"/>
            </w:tcMar>
          </w:tcPr>
          <w:p>
            <w:r>
              <w:rPr>
                <w:rFonts w:hint="eastAsia"/>
              </w:rPr>
              <w:t>经营场所的地址</w:t>
            </w:r>
          </w:p>
          <w:p>
            <w:r>
              <w:rPr>
                <w:rFonts w:hint="eastAsia"/>
              </w:rPr>
              <w:t>（多现场和临时现场）</w:t>
            </w:r>
          </w:p>
        </w:tc>
        <w:tc>
          <w:tcPr>
            <w:tcW w:w="711" w:type="dxa"/>
            <w:shd w:val="clear" w:color="auto" w:fill="F3F3F3"/>
            <w:tcMar>
              <w:left w:w="57" w:type="dxa"/>
              <w:right w:w="57" w:type="dxa"/>
            </w:tcMar>
          </w:tcPr>
          <w:p>
            <w:r>
              <w:rPr>
                <w:rFonts w:hint="eastAsia"/>
              </w:rPr>
              <w:t>员工人数</w:t>
            </w:r>
          </w:p>
        </w:tc>
        <w:tc>
          <w:tcPr>
            <w:tcW w:w="2711" w:type="dxa"/>
            <w:shd w:val="clear" w:color="auto" w:fill="F3F3F3"/>
            <w:tcMar>
              <w:left w:w="57" w:type="dxa"/>
              <w:right w:w="57" w:type="dxa"/>
            </w:tcMar>
          </w:tcPr>
          <w:p>
            <w:r>
              <w:rPr>
                <w:rFonts w:hint="eastAsia"/>
              </w:rPr>
              <w:t>审核范围（产品和过程）</w:t>
            </w:r>
          </w:p>
          <w:p/>
          <w:p/>
        </w:tc>
        <w:tc>
          <w:tcPr>
            <w:tcW w:w="111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92" w:type="dxa"/>
            <w:vAlign w:val="center"/>
          </w:tcPr>
          <w:p>
            <w:pPr>
              <w:rPr>
                <w:lang w:eastAsia="ja-JP"/>
              </w:rPr>
            </w:pPr>
            <w:r>
              <w:rPr>
                <w:rFonts w:hint="eastAsia"/>
                <w:lang w:eastAsia="ja-JP"/>
              </w:rPr>
              <w:t>01</w:t>
            </w:r>
          </w:p>
        </w:tc>
        <w:tc>
          <w:tcPr>
            <w:tcW w:w="2022" w:type="dxa"/>
            <w:vAlign w:val="top"/>
          </w:tcPr>
          <w:p>
            <w:pPr>
              <w:rPr>
                <w:rFonts w:hint="eastAsia"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1778"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重庆市九龙坡区华岩镇新镇七社玉清寺针织厂内</w:t>
            </w:r>
          </w:p>
          <w:p>
            <w:pPr>
              <w:rPr>
                <w:rFonts w:ascii="Times New Roman" w:hAnsi="Times New Roman" w:eastAsia="宋体" w:cs="Times New Roman"/>
                <w:kern w:val="2"/>
                <w:sz w:val="21"/>
                <w:szCs w:val="24"/>
                <w:lang w:val="de-DE" w:eastAsia="ja-JP" w:bidi="ar-SA"/>
              </w:rPr>
            </w:pPr>
          </w:p>
        </w:tc>
        <w:tc>
          <w:tcPr>
            <w:tcW w:w="71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15</w:t>
            </w:r>
          </w:p>
        </w:tc>
        <w:tc>
          <w:tcPr>
            <w:tcW w:w="2711"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服装（西服、衬衣、标志服、反光标志服、防寒服、环卫服、雨衣）的加工、销售。</w:t>
            </w:r>
          </w:p>
        </w:tc>
        <w:tc>
          <w:tcPr>
            <w:tcW w:w="1110" w:type="dxa"/>
            <w:vAlign w:val="center"/>
          </w:tcPr>
          <w:p>
            <w:pPr>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vAlign w:val="center"/>
          </w:tcPr>
          <w:p>
            <w:pPr>
              <w:rPr>
                <w:lang w:eastAsia="ja-JP"/>
              </w:rPr>
            </w:pPr>
            <w:r>
              <w:rPr>
                <w:rFonts w:hint="eastAsia"/>
                <w:lang w:eastAsia="ja-JP"/>
              </w:rPr>
              <w:t>02</w:t>
            </w:r>
          </w:p>
        </w:tc>
        <w:tc>
          <w:tcPr>
            <w:tcW w:w="2022" w:type="dxa"/>
            <w:vAlign w:val="top"/>
          </w:tcPr>
          <w:p>
            <w:pPr>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1778"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重庆市九龙坡区华岩镇新镇七社玉清寺针织厂内</w:t>
            </w:r>
          </w:p>
          <w:p>
            <w:pPr>
              <w:rPr>
                <w:rFonts w:ascii="Times New Roman" w:hAnsi="Times New Roman" w:eastAsia="宋体" w:cs="Times New Roman"/>
                <w:kern w:val="2"/>
                <w:sz w:val="21"/>
                <w:szCs w:val="24"/>
                <w:lang w:val="en-US" w:eastAsia="ja-JP" w:bidi="ar-SA"/>
              </w:rPr>
            </w:pPr>
          </w:p>
        </w:tc>
        <w:tc>
          <w:tcPr>
            <w:tcW w:w="711"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15</w:t>
            </w:r>
          </w:p>
        </w:tc>
        <w:tc>
          <w:tcPr>
            <w:tcW w:w="2711"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服装（西服、衬衣、标志服、反光标志服、防寒服、环卫服、雨衣）的加工、销售所涉及场所的相关环境管理活动</w:t>
            </w:r>
          </w:p>
        </w:tc>
        <w:tc>
          <w:tcPr>
            <w:tcW w:w="1110" w:type="dxa"/>
            <w:vAlign w:val="center"/>
          </w:tcPr>
          <w:p>
            <w:pPr>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GB/T24001-2016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vAlign w:val="center"/>
          </w:tcPr>
          <w:p>
            <w:pPr>
              <w:rPr>
                <w:lang w:eastAsia="ja-JP"/>
              </w:rPr>
            </w:pPr>
            <w:r>
              <w:rPr>
                <w:rFonts w:hint="eastAsia"/>
                <w:lang w:eastAsia="ja-JP"/>
              </w:rPr>
              <w:t>03</w:t>
            </w:r>
          </w:p>
        </w:tc>
        <w:tc>
          <w:tcPr>
            <w:tcW w:w="2022" w:type="dxa"/>
            <w:vAlign w:val="top"/>
          </w:tcPr>
          <w:p>
            <w:pPr>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重庆欧祥服饰有限公司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重庆市沙坪坝区荔枝桥13号附11号23-3</w:t>
            </w:r>
          </w:p>
        </w:tc>
        <w:tc>
          <w:tcPr>
            <w:tcW w:w="1778"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重庆市九龙坡区华岩镇新镇七社玉清寺针织厂内</w:t>
            </w:r>
          </w:p>
          <w:p>
            <w:pPr>
              <w:rPr>
                <w:rFonts w:ascii="Times New Roman" w:hAnsi="Times New Roman" w:eastAsia="宋体" w:cs="Times New Roman"/>
                <w:kern w:val="2"/>
                <w:sz w:val="21"/>
                <w:szCs w:val="24"/>
                <w:lang w:val="en-US" w:eastAsia="ja-JP" w:bidi="ar-SA"/>
              </w:rPr>
            </w:pPr>
          </w:p>
        </w:tc>
        <w:tc>
          <w:tcPr>
            <w:tcW w:w="711"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15</w:t>
            </w:r>
          </w:p>
        </w:tc>
        <w:tc>
          <w:tcPr>
            <w:tcW w:w="2711"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服装（西服、衬衣、标志服、反光标志服、防寒服、环卫服、雨衣）的加工、销售所涉及场所的相关职业健康安全管理活动</w:t>
            </w:r>
          </w:p>
        </w:tc>
        <w:tc>
          <w:tcPr>
            <w:tcW w:w="1110" w:type="dxa"/>
            <w:vAlign w:val="center"/>
          </w:tcPr>
          <w:p>
            <w:pPr>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vAlign w:val="center"/>
          </w:tcPr>
          <w:p>
            <w:pPr>
              <w:rPr>
                <w:lang w:eastAsia="ja-JP"/>
              </w:rPr>
            </w:pPr>
            <w:r>
              <w:rPr>
                <w:rFonts w:hint="eastAsia"/>
                <w:lang w:eastAsia="ja-JP"/>
              </w:rPr>
              <w:t>04</w:t>
            </w:r>
          </w:p>
        </w:tc>
        <w:tc>
          <w:tcPr>
            <w:tcW w:w="2022" w:type="dxa"/>
            <w:vAlign w:val="center"/>
          </w:tcPr>
          <w:p>
            <w:pPr>
              <w:rPr>
                <w:lang w:eastAsia="ja-JP"/>
              </w:rPr>
            </w:pPr>
          </w:p>
        </w:tc>
        <w:tc>
          <w:tcPr>
            <w:tcW w:w="1778" w:type="dxa"/>
            <w:vAlign w:val="center"/>
          </w:tcPr>
          <w:p>
            <w:pPr>
              <w:rPr>
                <w:lang w:eastAsia="ja-JP"/>
              </w:rPr>
            </w:pPr>
          </w:p>
        </w:tc>
        <w:tc>
          <w:tcPr>
            <w:tcW w:w="711" w:type="dxa"/>
            <w:vAlign w:val="center"/>
          </w:tcPr>
          <w:p>
            <w:pPr>
              <w:rPr>
                <w:lang w:eastAsia="ja-JP"/>
              </w:rPr>
            </w:pPr>
          </w:p>
        </w:tc>
        <w:tc>
          <w:tcPr>
            <w:tcW w:w="2711" w:type="dxa"/>
            <w:vAlign w:val="center"/>
          </w:tcPr>
          <w:p>
            <w:pPr>
              <w:rPr>
                <w:lang w:eastAsia="ja-JP"/>
              </w:rPr>
            </w:pPr>
          </w:p>
        </w:tc>
        <w:tc>
          <w:tcPr>
            <w:tcW w:w="111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vAlign w:val="center"/>
          </w:tcPr>
          <w:p>
            <w:pPr>
              <w:rPr>
                <w:lang w:eastAsia="ja-JP"/>
              </w:rPr>
            </w:pPr>
            <w:r>
              <w:rPr>
                <w:rFonts w:hint="eastAsia"/>
                <w:lang w:eastAsia="ja-JP"/>
              </w:rPr>
              <w:t>05</w:t>
            </w:r>
          </w:p>
        </w:tc>
        <w:tc>
          <w:tcPr>
            <w:tcW w:w="2022" w:type="dxa"/>
            <w:vAlign w:val="center"/>
          </w:tcPr>
          <w:p>
            <w:pPr>
              <w:rPr>
                <w:lang w:eastAsia="ja-JP"/>
              </w:rPr>
            </w:pPr>
          </w:p>
        </w:tc>
        <w:tc>
          <w:tcPr>
            <w:tcW w:w="1778" w:type="dxa"/>
            <w:vAlign w:val="center"/>
          </w:tcPr>
          <w:p>
            <w:pPr>
              <w:rPr>
                <w:lang w:eastAsia="ja-JP"/>
              </w:rPr>
            </w:pPr>
          </w:p>
        </w:tc>
        <w:tc>
          <w:tcPr>
            <w:tcW w:w="711" w:type="dxa"/>
            <w:vAlign w:val="center"/>
          </w:tcPr>
          <w:p>
            <w:pPr>
              <w:rPr>
                <w:lang w:eastAsia="ja-JP"/>
              </w:rPr>
            </w:pPr>
          </w:p>
        </w:tc>
        <w:tc>
          <w:tcPr>
            <w:tcW w:w="2711" w:type="dxa"/>
            <w:vAlign w:val="center"/>
          </w:tcPr>
          <w:p>
            <w:pPr>
              <w:rPr>
                <w:lang w:eastAsia="ja-JP"/>
              </w:rPr>
            </w:pPr>
          </w:p>
        </w:tc>
        <w:tc>
          <w:tcPr>
            <w:tcW w:w="1110"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71"/>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71" w:type="dxa"/>
            <w:vAlign w:val="center"/>
          </w:tcPr>
          <w:p>
            <w:r>
              <w:rPr>
                <w:rFonts w:hint="eastAsia"/>
              </w:rPr>
              <w:t>审核员注册证书号</w:t>
            </w:r>
          </w:p>
        </w:tc>
        <w:tc>
          <w:tcPr>
            <w:tcW w:w="277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271" w:type="dxa"/>
            <w:vAlign w:val="center"/>
          </w:tcPr>
          <w:p>
            <w:r>
              <w:t>2022-N1QMS-4093566</w:t>
            </w:r>
          </w:p>
          <w:p>
            <w:r>
              <w:t>2021-N1EMS-3093566</w:t>
            </w:r>
          </w:p>
          <w:p>
            <w:r>
              <w:t>2022-N1OHSMS-3093566</w:t>
            </w:r>
          </w:p>
        </w:tc>
        <w:tc>
          <w:tcPr>
            <w:tcW w:w="2778" w:type="dxa"/>
            <w:vAlign w:val="center"/>
          </w:tcPr>
          <w:p>
            <w:r>
              <w:t>Q:04.05.02,04.05.03,04.05.05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271" w:type="dxa"/>
            <w:vAlign w:val="center"/>
          </w:tcPr>
          <w:p>
            <w:r>
              <w:t>2020-N1QMS-1267598</w:t>
            </w:r>
          </w:p>
          <w:p>
            <w:r>
              <w:t>2020-N1EMS-1267598</w:t>
            </w:r>
          </w:p>
          <w:p>
            <w:r>
              <w:t>2021-N1OHSMS-1267598</w:t>
            </w:r>
          </w:p>
        </w:tc>
        <w:tc>
          <w:tcPr>
            <w:tcW w:w="277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何春</w:t>
            </w:r>
          </w:p>
        </w:tc>
        <w:tc>
          <w:tcPr>
            <w:tcW w:w="1089" w:type="dxa"/>
            <w:vAlign w:val="center"/>
          </w:tcPr>
          <w:p>
            <w:r>
              <w:t>组员</w:t>
            </w:r>
          </w:p>
        </w:tc>
        <w:tc>
          <w:tcPr>
            <w:tcW w:w="711" w:type="dxa"/>
            <w:vAlign w:val="center"/>
          </w:tcPr>
          <w:p>
            <w:r>
              <w:t>男</w:t>
            </w:r>
          </w:p>
        </w:tc>
        <w:tc>
          <w:tcPr>
            <w:tcW w:w="3271" w:type="dxa"/>
            <w:vAlign w:val="center"/>
          </w:tcPr>
          <w:p>
            <w:r>
              <w:t>ISC-JSZJ-029</w:t>
            </w:r>
          </w:p>
          <w:p>
            <w:r>
              <w:t>ISC-JSZJ-029</w:t>
            </w:r>
          </w:p>
          <w:p>
            <w:r>
              <w:t>ISC-JSZJ-029</w:t>
            </w:r>
          </w:p>
          <w:p>
            <w:r>
              <w:t>重庆永森服装加工厂</w:t>
            </w:r>
          </w:p>
        </w:tc>
        <w:tc>
          <w:tcPr>
            <w:tcW w:w="2778" w:type="dxa"/>
            <w:vAlign w:val="center"/>
          </w:tcPr>
          <w:p>
            <w:r>
              <w:t>Q:04.05.02,04.05.03,04.05.05</w:t>
            </w:r>
          </w:p>
          <w:p>
            <w:r>
              <w:t>E:04.05.02,04.05.03,04.05.05</w:t>
            </w:r>
          </w:p>
          <w:p>
            <w:r>
              <w:t>O:04.05.02,04.05.03,04.05.05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271" w:type="dxa"/>
            <w:vAlign w:val="center"/>
          </w:tcPr>
          <w:p/>
        </w:tc>
        <w:tc>
          <w:tcPr>
            <w:tcW w:w="277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271" w:type="dxa"/>
            <w:vAlign w:val="center"/>
          </w:tcPr>
          <w:p/>
        </w:tc>
        <w:tc>
          <w:tcPr>
            <w:tcW w:w="277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71" w:type="dxa"/>
            <w:vAlign w:val="center"/>
          </w:tcPr>
          <w:p>
            <w:r>
              <w:rPr>
                <w:rFonts w:hint="eastAsia"/>
              </w:rPr>
              <w:t>工作单位</w:t>
            </w:r>
          </w:p>
        </w:tc>
        <w:tc>
          <w:tcPr>
            <w:tcW w:w="2778"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271" w:type="dxa"/>
            <w:vAlign w:val="center"/>
          </w:tcPr>
          <w:p/>
        </w:tc>
        <w:tc>
          <w:tcPr>
            <w:tcW w:w="277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271" w:type="dxa"/>
            <w:vAlign w:val="center"/>
          </w:tcPr>
          <w:p/>
        </w:tc>
        <w:tc>
          <w:tcPr>
            <w:tcW w:w="2778"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上次不符合项发生在市场部门Q7.1.3条款，已完成整改，且无类似情况再次发生。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服装（西服、衬衣、标志服、反光标志服、防寒服、环卫服、雨衣）的加工、销售。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ascii="宋体" w:hAnsi="宋体" w:cs="宋体"/>
                <w:color w:val="000000"/>
                <w:kern w:val="0"/>
                <w:szCs w:val="21"/>
              </w:rPr>
              <w:t>服装（西服、衬衣、标志服、反光标志服、防寒服、环卫服、雨衣）的加工、销售所涉及场所的相关环境管理活动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ascii="宋体" w:hAnsi="宋体" w:cs="宋体"/>
                <w:color w:val="000000"/>
                <w:kern w:val="0"/>
                <w:szCs w:val="21"/>
              </w:rPr>
              <w:t>服装（西服、衬衣、标志服、反光标志服、防寒服、环卫服、雨衣）的加工、销售所涉及场所的相关职业健康安全管理活动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1"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332105</wp:posOffset>
                  </wp:positionH>
                  <wp:positionV relativeFrom="paragraph">
                    <wp:posOffset>73025</wp:posOffset>
                  </wp:positionV>
                  <wp:extent cx="408305" cy="445135"/>
                  <wp:effectExtent l="0" t="0" r="10795" b="12065"/>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408305" cy="44513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2022年09月18日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0" w:hRule="atLeast"/>
        </w:trPr>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left"/>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产品交付合格率100%</w:t>
                  </w:r>
                  <w:r>
                    <w:rPr>
                      <w:rFonts w:hint="eastAsia" w:ascii="宋体" w:hAnsi="宋体" w:cs="宋体"/>
                      <w:color w:val="000000"/>
                      <w:sz w:val="21"/>
                      <w:szCs w:val="21"/>
                      <w:lang w:val="en-US" w:eastAsia="zh-CN" w:bidi="ar"/>
                    </w:rPr>
                    <w:t>;</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产品交验合格数/送检总数*100%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顾客满意度≥80%</w:t>
                  </w:r>
                  <w:r>
                    <w:rPr>
                      <w:rFonts w:hint="eastAsia" w:ascii="宋体" w:hAnsi="宋体" w:cs="宋体"/>
                      <w:color w:val="000000"/>
                      <w:sz w:val="21"/>
                      <w:szCs w:val="21"/>
                      <w:lang w:val="en-US" w:eastAsia="zh-CN" w:bidi="ar"/>
                    </w:rPr>
                    <w:t xml:space="preserve"> </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 w:val="21"/>
                      <w:szCs w:val="21"/>
                      <w:lang w:bidi="ar"/>
                    </w:rPr>
                    <w:t>合同履约率100%</w:t>
                  </w:r>
                  <w:r>
                    <w:rPr>
                      <w:rFonts w:hint="eastAsia" w:ascii="宋体" w:hAnsi="宋体" w:cs="宋体"/>
                      <w:color w:val="000000"/>
                      <w:sz w:val="21"/>
                      <w:szCs w:val="21"/>
                      <w:lang w:val="en-US" w:eastAsia="zh-CN" w:bidi="ar"/>
                    </w:rPr>
                    <w:t xml:space="preserve"> </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合同完成数/合同签约数*100%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rPr>
              <w:t>建筑面积</w:t>
            </w:r>
            <w:r>
              <w:rPr>
                <w:rFonts w:hint="eastAsia"/>
                <w:highlight w:val="none"/>
                <w:u w:val="single"/>
              </w:rPr>
              <w:t xml:space="preserve"> </w:t>
            </w:r>
            <w:r>
              <w:rPr>
                <w:rFonts w:hint="eastAsia"/>
                <w:highlight w:val="none"/>
                <w:u w:val="single"/>
                <w:lang w:val="en-US" w:eastAsia="zh-CN"/>
              </w:rPr>
              <w:t>300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u w:val="single"/>
                <w:lang w:eastAsia="zh-CN"/>
              </w:rPr>
            </w:pPr>
            <w:r>
              <w:rPr>
                <w:rFonts w:hint="eastAsia"/>
              </w:rPr>
              <w:t>主要生产设备有：</w:t>
            </w:r>
            <w:r>
              <w:rPr>
                <w:rFonts w:ascii="宋体" w:hAnsi="宋体" w:cs="宋体"/>
                <w:kern w:val="0"/>
                <w:sz w:val="21"/>
                <w:szCs w:val="21"/>
                <w:u w:val="single"/>
              </w:rPr>
              <w:t>电脑、打印机和</w:t>
            </w:r>
            <w:r>
              <w:rPr>
                <w:rFonts w:hint="eastAsia" w:ascii="宋体" w:hAnsi="宋体"/>
                <w:color w:val="auto"/>
                <w:sz w:val="21"/>
                <w:szCs w:val="21"/>
                <w:u w:val="single"/>
              </w:rPr>
              <w:t>裁剪机、缝纫机、扣眼机、开袋机、 整烫定型机、挑边机等</w:t>
            </w:r>
            <w:r>
              <w:rPr>
                <w:rFonts w:hint="eastAsia" w:ascii="宋体" w:hAnsi="宋体" w:cs="宋体"/>
                <w:kern w:val="0"/>
                <w:sz w:val="21"/>
                <w:szCs w:val="21"/>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w:t>
            </w:r>
            <w:r>
              <w:rPr>
                <w:rFonts w:hint="eastAsia"/>
                <w:lang w:eastAsia="zh-CN"/>
              </w:rPr>
              <w:t>□</w:t>
            </w:r>
            <w:r>
              <w:rPr>
                <w:rFonts w:hint="eastAsia"/>
              </w:rPr>
              <w:t xml:space="preserve">服务流程检查表  </w:t>
            </w:r>
            <w:r>
              <w:rPr>
                <w:rFonts w:hint="eastAsia"/>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lang w:eastAsia="zh-CN"/>
              </w:rPr>
              <w:t>□</w:t>
            </w:r>
            <w:r>
              <w:rPr>
                <w:rFonts w:hint="eastAsia"/>
              </w:rPr>
              <w:t xml:space="preserve">自校   </w:t>
            </w:r>
            <w:r>
              <w:rPr>
                <w:rFonts w:hint="eastAsia"/>
                <w:lang w:eastAsia="zh-CN"/>
              </w:rPr>
              <w:t>□</w:t>
            </w:r>
            <w:r>
              <w:rPr>
                <w:rFonts w:hint="eastAsia"/>
              </w:rPr>
              <w:t xml:space="preserve">外校 </w:t>
            </w:r>
          </w:p>
          <w:p>
            <w:pPr>
              <w:shd w:val="clear" w:color="auto" w:fill="C7DAF1" w:themeFill="text2" w:themeFillTint="32"/>
              <w:rPr>
                <w:rFonts w:hint="eastAsia"/>
              </w:rPr>
            </w:pPr>
            <w:r>
              <w:rPr>
                <w:rFonts w:hint="eastAsia"/>
              </w:rPr>
              <w:t>国家强检的计量器具有：等</w:t>
            </w:r>
          </w:p>
          <w:p>
            <w:pPr>
              <w:shd w:val="clear" w:color="auto" w:fill="C7DAF1" w:themeFill="text2" w:themeFillTint="32"/>
              <w:rPr>
                <w:rFonts w:hint="eastAsia"/>
                <w:highlight w:val="none"/>
              </w:rPr>
            </w:pPr>
            <w:r>
              <w:rPr>
                <w:rFonts w:hint="eastAsia"/>
                <w:highlight w:val="none"/>
              </w:rPr>
              <w:t>计量器具管理：</w:t>
            </w:r>
            <w:r>
              <w:rPr>
                <w:rFonts w:hint="eastAsia"/>
                <w:highlight w:val="none"/>
                <w:lang w:eastAsia="zh-CN"/>
              </w:rPr>
              <w:t>□</w:t>
            </w:r>
            <w:r>
              <w:rPr>
                <w:rFonts w:hint="eastAsia"/>
                <w:highlight w:val="none"/>
              </w:rPr>
              <w:t xml:space="preserve">进行了定期校准/检定  </w:t>
            </w:r>
            <w:r>
              <w:rPr>
                <w:rFonts w:hint="eastAsia"/>
                <w:highlight w:val="none"/>
                <w:lang w:eastAsia="zh-CN"/>
              </w:rPr>
              <w:t>□</w:t>
            </w:r>
            <w:r>
              <w:rPr>
                <w:rFonts w:hint="eastAsia"/>
                <w:highlight w:val="none"/>
              </w:rPr>
              <w:t xml:space="preserve">未进行定期校准/检定的有：             </w:t>
            </w:r>
          </w:p>
          <w:p>
            <w:pPr>
              <w:pStyle w:val="2"/>
            </w:pPr>
            <w:r>
              <w:rPr>
                <w:rFonts w:hint="eastAsia" w:ascii="宋体" w:hAnsi="宋体"/>
                <w:color w:val="auto"/>
                <w:sz w:val="21"/>
                <w:szCs w:val="21"/>
                <w:highlight w:val="none"/>
              </w:rPr>
              <w:t>因</w:t>
            </w:r>
            <w:r>
              <w:rPr>
                <w:rFonts w:hint="eastAsia" w:ascii="宋体" w:hAnsi="宋体"/>
                <w:color w:val="auto"/>
                <w:sz w:val="21"/>
                <w:szCs w:val="21"/>
                <w:highlight w:val="none"/>
                <w:lang w:val="en-US" w:eastAsia="zh-CN"/>
              </w:rPr>
              <w:t>服装</w:t>
            </w:r>
            <w:r>
              <w:rPr>
                <w:rFonts w:hint="eastAsia" w:ascii="宋体" w:hAnsi="宋体"/>
                <w:color w:val="auto"/>
                <w:sz w:val="21"/>
                <w:szCs w:val="21"/>
                <w:highlight w:val="none"/>
              </w:rPr>
              <w:t>对尺寸要求不高，</w:t>
            </w:r>
            <w:r>
              <w:rPr>
                <w:rFonts w:hint="eastAsia" w:ascii="宋体" w:hAnsi="宋体"/>
                <w:color w:val="auto"/>
                <w:sz w:val="21"/>
                <w:szCs w:val="21"/>
                <w:highlight w:val="none"/>
                <w:lang w:val="en-US" w:eastAsia="zh-CN"/>
              </w:rPr>
              <w:t>配置的</w:t>
            </w:r>
            <w:r>
              <w:rPr>
                <w:rFonts w:hint="eastAsia"/>
                <w:highlight w:val="none"/>
              </w:rPr>
              <w:t>软尺、直尺</w:t>
            </w:r>
            <w:r>
              <w:rPr>
                <w:rFonts w:hint="eastAsia" w:ascii="宋体" w:hAnsi="宋体"/>
                <w:color w:val="auto"/>
                <w:sz w:val="21"/>
                <w:szCs w:val="21"/>
                <w:highlight w:val="none"/>
              </w:rPr>
              <w:t>采取损坏后更换的方式控制，现场检具状态完好。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69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65" w:type="dxa"/>
                </w:tcPr>
                <w:p>
                  <w:pPr>
                    <w:shd w:val="clear" w:color="auto" w:fill="C7DAF1" w:themeFill="text2" w:themeFillTint="32"/>
                    <w:jc w:val="left"/>
                  </w:pPr>
                  <w:r>
                    <w:rPr>
                      <w:rFonts w:hint="eastAsia"/>
                    </w:rPr>
                    <w:t>产品/服务名称</w:t>
                  </w:r>
                </w:p>
              </w:tc>
              <w:tc>
                <w:tcPr>
                  <w:tcW w:w="269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tcPr>
                <w:p>
                  <w:pPr>
                    <w:shd w:val="clear" w:color="auto" w:fill="C7DAF1" w:themeFill="text2" w:themeFillTint="32"/>
                    <w:jc w:val="left"/>
                  </w:pPr>
                  <w:r>
                    <w:rPr>
                      <w:rFonts w:hint="eastAsia" w:ascii="宋体" w:hAnsi="宋体" w:eastAsia="宋体" w:cs="Times New Roman"/>
                      <w:color w:val="auto"/>
                      <w:sz w:val="21"/>
                      <w:szCs w:val="21"/>
                    </w:rPr>
                    <w:t>服装（西服、衬衣、标志服、反光标志服、防寒服、环卫服、雨衣）的加工</w:t>
                  </w:r>
                </w:p>
              </w:tc>
              <w:tc>
                <w:tcPr>
                  <w:tcW w:w="2692" w:type="dxa"/>
                </w:tcPr>
                <w:p>
                  <w:pPr>
                    <w:shd w:val="clear" w:color="auto" w:fill="C7DAF1" w:themeFill="text2" w:themeFillTint="32"/>
                    <w:jc w:val="left"/>
                    <w:rPr>
                      <w:rFonts w:hint="default" w:eastAsia="宋体"/>
                      <w:lang w:val="en-US" w:eastAsia="zh-CN"/>
                    </w:rPr>
                  </w:pPr>
                  <w:r>
                    <w:rPr>
                      <w:rFonts w:hint="eastAsia" w:ascii="宋体" w:hAnsi="宋体"/>
                      <w:color w:val="auto"/>
                      <w:sz w:val="21"/>
                      <w:szCs w:val="21"/>
                    </w:rPr>
                    <w:t>整烫、粘合</w:t>
                  </w:r>
                  <w:r>
                    <w:rPr>
                      <w:rFonts w:hint="eastAsia"/>
                      <w:lang w:val="en-US" w:eastAsia="zh-CN"/>
                    </w:rPr>
                    <w:t>过程</w:t>
                  </w:r>
                </w:p>
              </w:tc>
              <w:tc>
                <w:tcPr>
                  <w:tcW w:w="3265" w:type="dxa"/>
                </w:tcPr>
                <w:p>
                  <w:pPr>
                    <w:shd w:val="clear" w:color="auto" w:fill="C7DAF1" w:themeFill="text2" w:themeFillTint="32"/>
                    <w:jc w:val="left"/>
                    <w:rPr>
                      <w:rFonts w:hint="eastAsia" w:eastAsiaTheme="minorEastAsia"/>
                      <w:lang w:val="en-US" w:eastAsia="zh-CN"/>
                    </w:rPr>
                  </w:pPr>
                  <w:r>
                    <w:rPr>
                      <w:rFonts w:hint="eastAsia" w:asciiTheme="minorEastAsia" w:hAnsiTheme="minorEastAsia" w:eastAsiaTheme="minorEastAsia"/>
                      <w:b w:val="0"/>
                      <w:bCs w:val="0"/>
                      <w:sz w:val="21"/>
                      <w:szCs w:val="21"/>
                      <w:lang w:val="en-US" w:eastAsia="zh-CN"/>
                    </w:rPr>
                    <w:t>平整、牢固等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65" w:type="dxa"/>
                </w:tcPr>
                <w:p>
                  <w:pPr>
                    <w:shd w:val="clear" w:color="auto" w:fill="C7DAF1" w:themeFill="text2" w:themeFillTint="32"/>
                    <w:jc w:val="left"/>
                  </w:pPr>
                </w:p>
              </w:tc>
              <w:tc>
                <w:tcPr>
                  <w:tcW w:w="2692"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olor w:val="auto"/>
                <w:sz w:val="21"/>
                <w:szCs w:val="21"/>
                <w:u w:val="single"/>
                <w:lang w:bidi="ar"/>
              </w:rPr>
              <w:t>整烫、粘合</w:t>
            </w:r>
            <w:r>
              <w:rPr>
                <w:rFonts w:hint="eastAsia" w:ascii="宋体" w:hAnsi="宋体"/>
                <w:color w:val="auto"/>
                <w:sz w:val="21"/>
                <w:szCs w:val="21"/>
                <w:u w:val="single"/>
                <w:lang w:val="en-US" w:eastAsia="zh-CN" w:bidi="ar"/>
              </w:rPr>
              <w:t>过程</w:t>
            </w:r>
            <w:r>
              <w:rPr>
                <w:rFonts w:hint="eastAsia"/>
                <w:u w:val="single"/>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宋体" w:hAnsi="宋体" w:eastAsia="宋体" w:cs="宋体"/>
                <w:lang w:eastAsia="zh-CN"/>
              </w:rPr>
              <w:t>■</w:t>
            </w:r>
            <w:r>
              <w:rPr>
                <w:rFonts w:hint="eastAsia"/>
              </w:rPr>
              <w:t>存在不足，说明</w:t>
            </w:r>
            <w:r>
              <w:rPr>
                <w:rFonts w:hint="eastAsia"/>
                <w:u w:val="single"/>
              </w:rPr>
              <w:t xml:space="preserve">  </w:t>
            </w:r>
            <w:r>
              <w:rPr>
                <w:rFonts w:hint="eastAsia"/>
                <w:u w:val="single"/>
                <w:lang w:val="en-US" w:eastAsia="zh-CN"/>
              </w:rPr>
              <w:t>未进行年度确认，已开具不符合</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2022年6月8日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2022年6月29日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4.1</w:t>
            </w:r>
          </w:p>
        </w:tc>
        <w:tc>
          <w:tcPr>
            <w:tcW w:w="650" w:type="dxa"/>
            <w:vAlign w:val="center"/>
          </w:tcPr>
          <w:p>
            <w:pPr>
              <w:shd w:val="clear" w:color="auto" w:fill="C7DAF1" w:themeFill="text2" w:themeFillTint="32"/>
              <w:rPr>
                <w:lang w:eastAsia="ja-JP"/>
              </w:rPr>
            </w:pPr>
            <w:r>
              <w:rPr>
                <w:rFonts w:hint="eastAsia"/>
                <w:highlight w:val="none"/>
              </w:rPr>
              <w:t>4.2</w:t>
            </w:r>
          </w:p>
        </w:tc>
        <w:tc>
          <w:tcPr>
            <w:tcW w:w="650" w:type="dxa"/>
            <w:vAlign w:val="center"/>
          </w:tcPr>
          <w:p>
            <w:pPr>
              <w:shd w:val="clear" w:color="auto" w:fill="C7DAF1" w:themeFill="text2" w:themeFillTint="32"/>
              <w:rPr>
                <w:lang w:eastAsia="ja-JP"/>
              </w:rPr>
            </w:pPr>
            <w:r>
              <w:rPr>
                <w:rFonts w:hint="eastAsia"/>
                <w:highlight w:val="none"/>
              </w:rPr>
              <w:t>4.3</w:t>
            </w:r>
          </w:p>
        </w:tc>
        <w:tc>
          <w:tcPr>
            <w:tcW w:w="649" w:type="dxa"/>
            <w:vAlign w:val="center"/>
          </w:tcPr>
          <w:p>
            <w:pPr>
              <w:shd w:val="clear" w:color="auto" w:fill="C7DAF1" w:themeFill="text2" w:themeFillTint="32"/>
              <w:rPr>
                <w:lang w:eastAsia="ja-JP"/>
              </w:rPr>
            </w:pPr>
            <w:r>
              <w:rPr>
                <w:rFonts w:hint="eastAsia"/>
                <w:highlight w:val="none"/>
              </w:rPr>
              <w:t>4.4</w:t>
            </w:r>
          </w:p>
        </w:tc>
        <w:tc>
          <w:tcPr>
            <w:tcW w:w="650" w:type="dxa"/>
            <w:vAlign w:val="center"/>
          </w:tcPr>
          <w:p>
            <w:pPr>
              <w:shd w:val="clear" w:color="auto" w:fill="C7DAF1" w:themeFill="text2" w:themeFillTint="32"/>
              <w:rPr>
                <w:lang w:eastAsia="ja-JP"/>
              </w:rPr>
            </w:pPr>
            <w:r>
              <w:rPr>
                <w:rFonts w:hint="eastAsia"/>
                <w:highlight w:val="none"/>
              </w:rPr>
              <w:t>5.1</w:t>
            </w:r>
          </w:p>
        </w:tc>
        <w:tc>
          <w:tcPr>
            <w:tcW w:w="650" w:type="dxa"/>
            <w:vAlign w:val="center"/>
          </w:tcPr>
          <w:p>
            <w:pPr>
              <w:shd w:val="clear" w:color="auto" w:fill="C7DAF1" w:themeFill="text2" w:themeFillTint="32"/>
              <w:rPr>
                <w:lang w:eastAsia="ja-JP"/>
              </w:rPr>
            </w:pPr>
            <w:r>
              <w:rPr>
                <w:rFonts w:hint="eastAsia"/>
                <w:highlight w:val="none"/>
              </w:rPr>
              <w:t>5.2</w:t>
            </w:r>
          </w:p>
        </w:tc>
        <w:tc>
          <w:tcPr>
            <w:tcW w:w="649" w:type="dxa"/>
            <w:vAlign w:val="center"/>
          </w:tcPr>
          <w:p>
            <w:pPr>
              <w:shd w:val="clear" w:color="auto" w:fill="C7DAF1" w:themeFill="text2" w:themeFillTint="32"/>
              <w:rPr>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highlight w:val="none"/>
              </w:rPr>
              <w:t>6.1</w:t>
            </w:r>
          </w:p>
        </w:tc>
        <w:tc>
          <w:tcPr>
            <w:tcW w:w="650" w:type="dxa"/>
            <w:vAlign w:val="center"/>
          </w:tcPr>
          <w:p>
            <w:pPr>
              <w:shd w:val="clear" w:color="auto" w:fill="C7DAF1" w:themeFill="text2" w:themeFillTint="32"/>
              <w:rPr>
                <w:lang w:eastAsia="ja-JP"/>
              </w:rPr>
            </w:pPr>
            <w:r>
              <w:rPr>
                <w:rFonts w:hint="eastAsia"/>
                <w:highlight w:val="none"/>
              </w:rPr>
              <w:t>6.2</w:t>
            </w:r>
          </w:p>
        </w:tc>
        <w:tc>
          <w:tcPr>
            <w:tcW w:w="649" w:type="dxa"/>
            <w:vAlign w:val="center"/>
          </w:tcPr>
          <w:p>
            <w:pPr>
              <w:shd w:val="clear" w:color="auto" w:fill="C7DAF1" w:themeFill="text2" w:themeFillTint="32"/>
              <w:rPr>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7.1</w:t>
            </w:r>
          </w:p>
        </w:tc>
        <w:tc>
          <w:tcPr>
            <w:tcW w:w="650" w:type="dxa"/>
            <w:vAlign w:val="center"/>
          </w:tcPr>
          <w:p>
            <w:pPr>
              <w:shd w:val="clear" w:color="auto" w:fill="C7DAF1" w:themeFill="text2" w:themeFillTint="32"/>
              <w:rPr>
                <w:lang w:eastAsia="ja-JP"/>
              </w:rPr>
            </w:pPr>
            <w:r>
              <w:rPr>
                <w:rFonts w:hint="eastAsia"/>
                <w:highlight w:val="none"/>
              </w:rPr>
              <w:t>7.2</w:t>
            </w:r>
          </w:p>
        </w:tc>
        <w:tc>
          <w:tcPr>
            <w:tcW w:w="650" w:type="dxa"/>
            <w:vAlign w:val="center"/>
          </w:tcPr>
          <w:p>
            <w:pPr>
              <w:shd w:val="clear" w:color="auto" w:fill="C7DAF1" w:themeFill="text2" w:themeFillTint="32"/>
              <w:rPr>
                <w:lang w:eastAsia="ja-JP"/>
              </w:rPr>
            </w:pPr>
            <w:r>
              <w:rPr>
                <w:rFonts w:hint="eastAsia"/>
                <w:highlight w:val="none"/>
              </w:rPr>
              <w:t>7.3</w:t>
            </w:r>
          </w:p>
        </w:tc>
        <w:tc>
          <w:tcPr>
            <w:tcW w:w="649" w:type="dxa"/>
            <w:vAlign w:val="center"/>
          </w:tcPr>
          <w:p>
            <w:pPr>
              <w:shd w:val="clear" w:color="auto" w:fill="C7DAF1" w:themeFill="text2" w:themeFillTint="32"/>
              <w:rPr>
                <w:lang w:eastAsia="ja-JP"/>
              </w:rPr>
            </w:pPr>
            <w:r>
              <w:rPr>
                <w:rFonts w:hint="eastAsia"/>
                <w:highlight w:val="none"/>
              </w:rPr>
              <w:t>7.4</w:t>
            </w:r>
          </w:p>
        </w:tc>
        <w:tc>
          <w:tcPr>
            <w:tcW w:w="650" w:type="dxa"/>
            <w:vAlign w:val="center"/>
          </w:tcPr>
          <w:p>
            <w:pPr>
              <w:shd w:val="clear" w:color="auto" w:fill="C7DAF1" w:themeFill="text2" w:themeFillTint="32"/>
              <w:rPr>
                <w:lang w:eastAsia="ja-JP"/>
              </w:rPr>
            </w:pPr>
            <w:r>
              <w:rPr>
                <w:rFonts w:hint="eastAsia"/>
                <w:highlight w:val="none"/>
              </w:rPr>
              <w:t>7.5</w:t>
            </w:r>
          </w:p>
        </w:tc>
        <w:tc>
          <w:tcPr>
            <w:tcW w:w="650" w:type="dxa"/>
            <w:vAlign w:val="center"/>
          </w:tcPr>
          <w:p>
            <w:pPr>
              <w:shd w:val="clear" w:color="auto" w:fill="C7DAF1" w:themeFill="text2" w:themeFillTint="32"/>
              <w:rPr>
                <w:lang w:eastAsia="ja-JP"/>
              </w:rPr>
            </w:pPr>
            <w:r>
              <w:rPr>
                <w:rFonts w:hint="eastAsia"/>
                <w:highlight w:val="none"/>
              </w:rPr>
              <w:t>8.1</w:t>
            </w:r>
          </w:p>
        </w:tc>
        <w:tc>
          <w:tcPr>
            <w:tcW w:w="649" w:type="dxa"/>
            <w:vAlign w:val="center"/>
          </w:tcPr>
          <w:p>
            <w:pPr>
              <w:shd w:val="clear" w:color="auto" w:fill="C7DAF1" w:themeFill="text2" w:themeFillTint="32"/>
              <w:rPr>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highlight w:val="none"/>
              </w:rPr>
              <w:t>8.3</w:t>
            </w:r>
          </w:p>
        </w:tc>
        <w:tc>
          <w:tcPr>
            <w:tcW w:w="650" w:type="dxa"/>
            <w:vAlign w:val="center"/>
          </w:tcPr>
          <w:p>
            <w:pPr>
              <w:shd w:val="clear" w:color="auto" w:fill="C7DAF1" w:themeFill="text2" w:themeFillTint="32"/>
              <w:rPr>
                <w:lang w:eastAsia="ja-JP"/>
              </w:rPr>
            </w:pPr>
            <w:r>
              <w:rPr>
                <w:rFonts w:hint="eastAsia"/>
                <w:highlight w:val="none"/>
              </w:rPr>
              <w:t>8.4</w:t>
            </w:r>
          </w:p>
        </w:tc>
        <w:tc>
          <w:tcPr>
            <w:tcW w:w="649" w:type="dxa"/>
            <w:vAlign w:val="center"/>
          </w:tcPr>
          <w:p>
            <w:pPr>
              <w:shd w:val="clear" w:color="auto" w:fill="C7DAF1" w:themeFill="text2" w:themeFillTint="32"/>
              <w:rPr>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highlight w:val="none"/>
              </w:rPr>
              <w:t>8.6</w:t>
            </w:r>
          </w:p>
        </w:tc>
        <w:tc>
          <w:tcPr>
            <w:tcW w:w="650" w:type="dxa"/>
            <w:vAlign w:val="center"/>
          </w:tcPr>
          <w:p>
            <w:pPr>
              <w:shd w:val="clear" w:color="auto" w:fill="C7DAF1" w:themeFill="text2" w:themeFillTint="32"/>
              <w:rPr>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9.1</w:t>
            </w:r>
          </w:p>
        </w:tc>
        <w:tc>
          <w:tcPr>
            <w:tcW w:w="650" w:type="dxa"/>
            <w:vAlign w:val="center"/>
          </w:tcPr>
          <w:p>
            <w:pPr>
              <w:shd w:val="clear" w:color="auto" w:fill="C7DAF1" w:themeFill="text2" w:themeFillTint="32"/>
              <w:rPr>
                <w:lang w:eastAsia="ja-JP"/>
              </w:rPr>
            </w:pPr>
            <w:r>
              <w:rPr>
                <w:rFonts w:hint="eastAsia"/>
                <w:highlight w:val="none"/>
              </w:rPr>
              <w:t>9.2</w:t>
            </w:r>
          </w:p>
        </w:tc>
        <w:tc>
          <w:tcPr>
            <w:tcW w:w="650" w:type="dxa"/>
            <w:vAlign w:val="center"/>
          </w:tcPr>
          <w:p>
            <w:pPr>
              <w:shd w:val="clear" w:color="auto" w:fill="C7DAF1" w:themeFill="text2" w:themeFillTint="32"/>
              <w:rPr>
                <w:lang w:eastAsia="ja-JP"/>
              </w:rPr>
            </w:pPr>
            <w:r>
              <w:rPr>
                <w:rFonts w:hint="eastAsia"/>
                <w:highlight w:val="none"/>
              </w:rPr>
              <w:t>9.3</w:t>
            </w:r>
          </w:p>
        </w:tc>
        <w:tc>
          <w:tcPr>
            <w:tcW w:w="649" w:type="dxa"/>
            <w:vAlign w:val="center"/>
          </w:tcPr>
          <w:p>
            <w:pPr>
              <w:shd w:val="clear" w:color="auto" w:fill="C7DAF1" w:themeFill="text2" w:themeFillTint="32"/>
              <w:rPr>
                <w:lang w:eastAsia="ja-JP"/>
              </w:rPr>
            </w:pPr>
            <w:r>
              <w:rPr>
                <w:rFonts w:hint="eastAsia"/>
                <w:highlight w:val="none"/>
              </w:rPr>
              <w:t>10.1</w:t>
            </w:r>
          </w:p>
        </w:tc>
        <w:tc>
          <w:tcPr>
            <w:tcW w:w="650" w:type="dxa"/>
            <w:vAlign w:val="center"/>
          </w:tcPr>
          <w:p>
            <w:pPr>
              <w:shd w:val="clear" w:color="auto" w:fill="C7DAF1" w:themeFill="text2" w:themeFillTint="32"/>
              <w:rPr>
                <w:lang w:eastAsia="ja-JP"/>
              </w:rPr>
            </w:pPr>
            <w:r>
              <w:rPr>
                <w:rFonts w:hint="eastAsia"/>
                <w:highlight w:val="none"/>
              </w:rPr>
              <w:t>10.2</w:t>
            </w:r>
          </w:p>
        </w:tc>
        <w:tc>
          <w:tcPr>
            <w:tcW w:w="650" w:type="dxa"/>
            <w:vAlign w:val="center"/>
          </w:tcPr>
          <w:p>
            <w:pPr>
              <w:shd w:val="clear" w:color="auto" w:fill="C7DAF1" w:themeFill="text2" w:themeFillTint="32"/>
              <w:rPr>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tcPr>
                <w:p>
                  <w:pPr>
                    <w:shd w:val="clear" w:color="auto" w:fill="EBF1DE" w:themeFill="accent3" w:themeFillTint="32"/>
                  </w:pPr>
                </w:p>
              </w:tc>
              <w:tc>
                <w:tcPr>
                  <w:tcW w:w="1717" w:type="dxa"/>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green"/>
                    </w:rPr>
                  </w:pPr>
                  <w:r>
                    <w:rPr>
                      <w:rFonts w:hint="eastAsia" w:ascii="宋体" w:hAnsi="宋体" w:cs="宋体"/>
                      <w:color w:val="000000"/>
                      <w:spacing w:val="-4"/>
                      <w:szCs w:val="21"/>
                      <w:highlight w:val="none"/>
                      <w:lang w:val="en-US" w:eastAsia="zh-CN"/>
                    </w:rPr>
                    <w:t xml:space="preserve">固体废弃物分类收集、统一处置率 100% </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w:t>
            </w:r>
            <w:r>
              <w:rPr>
                <w:rFonts w:hint="eastAsia"/>
                <w:u w:val="single"/>
                <w:lang w:val="en-US" w:eastAsia="zh-CN"/>
              </w:rPr>
              <w:t>300</w:t>
            </w:r>
            <w:r>
              <w:rPr>
                <w:rFonts w:hint="eastAsia"/>
                <w:u w:val="single"/>
              </w:rPr>
              <w:t xml:space="preserve"> 平方米；生产车间  </w:t>
            </w:r>
            <w:r>
              <w:rPr>
                <w:rFonts w:hint="eastAsia"/>
                <w:u w:val="single"/>
                <w:lang w:val="en-US" w:eastAsia="zh-CN"/>
              </w:rPr>
              <w:t>1</w:t>
            </w:r>
            <w:r>
              <w:rPr>
                <w:rFonts w:hint="eastAsia"/>
                <w:u w:val="single"/>
              </w:rPr>
              <w:t xml:space="preserve"> 个；库房  </w:t>
            </w:r>
            <w:r>
              <w:rPr>
                <w:rFonts w:hint="eastAsia"/>
                <w:u w:val="single"/>
                <w:lang w:val="en-US" w:eastAsia="zh-CN"/>
              </w:rPr>
              <w:t>1</w:t>
            </w:r>
            <w:r>
              <w:rPr>
                <w:rFonts w:hint="eastAsia"/>
                <w:u w:val="single"/>
              </w:rPr>
              <w:t xml:space="preserve">  个；实验室   个</w:t>
            </w:r>
            <w:r>
              <w:rPr>
                <w:rFonts w:hint="eastAsia"/>
              </w:rPr>
              <w:t>；</w:t>
            </w:r>
          </w:p>
          <w:p>
            <w:pPr>
              <w:shd w:val="clear" w:color="auto" w:fill="EBF1DE" w:themeFill="accent3" w:themeFillTint="32"/>
              <w:rPr>
                <w:rFonts w:hint="eastAsia"/>
                <w:u w:val="single"/>
                <w:lang w:eastAsia="zh-CN"/>
              </w:rPr>
            </w:pPr>
            <w:r>
              <w:rPr>
                <w:rFonts w:hint="eastAsia"/>
              </w:rPr>
              <w:t>主要生产设备有：</w:t>
            </w:r>
            <w:r>
              <w:rPr>
                <w:rFonts w:hint="eastAsia"/>
                <w:u w:val="single"/>
              </w:rPr>
              <w:t>电脑、打印机和裁剪机、缝纫机、扣眼机、开袋机、 整烫定型机、挑边机等</w:t>
            </w:r>
            <w:r>
              <w:rPr>
                <w:rFonts w:hint="eastAsia"/>
                <w:u w:val="single"/>
                <w:lang w:eastAsia="zh-CN"/>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审核期间内，设计和开发新产品/项目名称：重庆市</w:t>
            </w:r>
            <w:r>
              <w:rPr>
                <w:rFonts w:hint="eastAsia"/>
                <w:lang w:val="en-US" w:eastAsia="zh-CN"/>
              </w:rPr>
              <w:t>两江中学校</w:t>
            </w:r>
            <w:r>
              <w:rPr>
                <w:rFonts w:hint="eastAsia"/>
              </w:rPr>
              <w:t>项目（含布艺窗帘、百叶、卷帘、柔纱帘）设计策划资料（举1例）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eastAsia="zh-CN"/>
              </w:rPr>
              <w:t>2022年4月15日</w:t>
            </w:r>
            <w:r>
              <w:rPr>
                <w:rFonts w:hint="eastAsia"/>
              </w:rPr>
              <w:t xml:space="preserve">进行了火灾消防的演练；并总结了预案的可行性和有效性。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eastAsia="宋体"/>
                <w:lang w:eastAsia="zh-CN"/>
              </w:rPr>
            </w:pPr>
            <w:r>
              <w:rPr>
                <w:rFonts w:hint="eastAsia"/>
                <w:lang w:eastAsia="zh-CN"/>
              </w:rPr>
              <w:t>■</w:t>
            </w:r>
            <w:r>
              <w:rPr>
                <w:rFonts w:hint="eastAsia"/>
              </w:rPr>
              <w:t xml:space="preserve">定期（每年） </w:t>
            </w:r>
            <w:r>
              <w:rPr>
                <w:rFonts w:hint="eastAsia"/>
                <w:lang w:val="en-GB"/>
              </w:rPr>
              <w:t>：</w:t>
            </w:r>
            <w:r>
              <w:rPr>
                <w:rFonts w:hint="eastAsia"/>
                <w:lang w:val="en-GB" w:eastAsia="zh-CN"/>
              </w:rPr>
              <w:t>2022年5月21日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2022年6月8日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2022年6月29日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最高管理者制定了文件化的职业健康安全管理体系方针：</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诚信至上、质量第一、铸造专业品质</w:t>
            </w:r>
            <w:r>
              <w:rPr>
                <w:rFonts w:hint="eastAsia" w:ascii="宋体" w:hAnsi="宋体" w:cs="宋体"/>
                <w:sz w:val="21"/>
                <w:szCs w:val="21"/>
                <w:u w:val="single"/>
                <w:lang w:eastAsia="zh-CN" w:bidi="ar"/>
              </w:rPr>
              <w:t>；</w:t>
            </w:r>
            <w:r>
              <w:rPr>
                <w:rFonts w:hint="eastAsia" w:ascii="宋体" w:hAnsi="宋体" w:cs="宋体"/>
                <w:sz w:val="21"/>
                <w:szCs w:val="21"/>
                <w:u w:val="single"/>
                <w:lang w:val="en-US" w:eastAsia="zh-CN" w:bidi="ar"/>
              </w:rPr>
              <w:t>节能减排、清洁生产、预防环境污染；遵章守法、减少风险、确保健康安全</w:t>
            </w:r>
            <w:r>
              <w:rPr>
                <w:rFonts w:hint="eastAsia" w:ascii="宋体" w:hAnsi="宋体" w:cs="宋体"/>
                <w:sz w:val="21"/>
                <w:szCs w:val="21"/>
                <w:u w:val="single"/>
                <w:lang w:eastAsia="zh-CN" w:bidi="ar"/>
              </w:rPr>
              <w:t>”</w:t>
            </w:r>
            <w:r>
              <w:rPr>
                <w:rFonts w:hint="eastAsia" w:ascii="宋体" w:hAnsi="宋体" w:cs="宋体"/>
                <w:bCs/>
                <w:sz w:val="21"/>
                <w:szCs w:val="21"/>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赵春香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车辆伤害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机械伤害</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lang w:val="en-US" w:eastAsia="zh-CN"/>
                    </w:rPr>
                  </w:pPr>
                  <w:r>
                    <w:rPr>
                      <w:rFonts w:hint="eastAsia"/>
                      <w:lang w:val="en-US" w:eastAsia="zh-CN"/>
                    </w:rPr>
                    <w:t>烫伤</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烫伤、车辆伤害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宋体"/>
                      <w:color w:val="000000"/>
                      <w:szCs w:val="21"/>
                      <w:highlight w:val="none"/>
                    </w:rPr>
                    <w:t>重大伤亡事故为零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宋体"/>
                      <w:color w:val="000000"/>
                      <w:szCs w:val="21"/>
                      <w:highlight w:val="none"/>
                    </w:rPr>
                    <w:t>火灾事故为零</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eastAsia="宋体" w:cs="宋体"/>
                      <w:color w:val="000000"/>
                      <w:kern w:val="0"/>
                      <w:sz w:val="21"/>
                      <w:szCs w:val="21"/>
                      <w:highlight w:val="none"/>
                      <w:lang w:val="en-US" w:eastAsia="zh-CN" w:bidi="ar"/>
                    </w:rPr>
                    <w:t xml:space="preserve">员工因工负伤率不超过 3‰ </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cs="宋体"/>
                      <w:color w:val="000000"/>
                      <w:szCs w:val="21"/>
                      <w:highlight w:val="none"/>
                    </w:rPr>
                    <w:t>因工负伤率为零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 xml:space="preserve">建筑面积 </w:t>
            </w:r>
            <w:r>
              <w:rPr>
                <w:rFonts w:hint="eastAsia"/>
                <w:lang w:val="en-US" w:eastAsia="zh-CN"/>
              </w:rPr>
              <w:t>300</w:t>
            </w:r>
            <w:r>
              <w:rPr>
                <w:rFonts w:hint="eastAsia"/>
              </w:rPr>
              <w:t xml:space="preserve"> 平方米；生产车间  </w:t>
            </w:r>
            <w:r>
              <w:rPr>
                <w:rFonts w:hint="eastAsia"/>
                <w:lang w:val="en-US" w:eastAsia="zh-CN"/>
              </w:rPr>
              <w:t>1</w:t>
            </w:r>
            <w:r>
              <w:rPr>
                <w:rFonts w:hint="eastAsia"/>
              </w:rPr>
              <w:t xml:space="preserve"> 个；库房  </w:t>
            </w:r>
            <w:r>
              <w:rPr>
                <w:rFonts w:hint="eastAsia"/>
                <w:lang w:val="en-US" w:eastAsia="zh-CN"/>
              </w:rPr>
              <w:t>1</w:t>
            </w:r>
            <w:r>
              <w:rPr>
                <w:rFonts w:hint="eastAsia"/>
              </w:rPr>
              <w:t xml:space="preserve">  个；实验室   个；</w:t>
            </w:r>
          </w:p>
          <w:p>
            <w:pPr>
              <w:rPr>
                <w:rFonts w:hint="eastAsia"/>
                <w:lang w:eastAsia="zh-CN"/>
              </w:rPr>
            </w:pPr>
            <w:r>
              <w:rPr>
                <w:rFonts w:hint="eastAsia"/>
              </w:rPr>
              <w:t>主要生产设备有：电脑、打印机和裁剪机、缝纫机、扣眼机、开袋机、 整烫定型机、挑边机等</w:t>
            </w:r>
            <w:r>
              <w:rPr>
                <w:rFonts w:hint="eastAsia"/>
                <w:lang w:eastAsia="zh-CN"/>
              </w:rPr>
              <w:t>。</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lang w:val="en-GB" w:eastAsia="zh-CN"/>
              </w:rPr>
              <w:t>于2022年4月15日进行了火灾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val="en-GB" w:eastAsia="zh-CN"/>
              </w:rPr>
            </w:pPr>
            <w:r>
              <w:rPr>
                <w:rFonts w:hint="eastAsia"/>
                <w:lang w:val="en-GB" w:eastAsia="zh-CN"/>
              </w:rPr>
              <w:t>■</w:t>
            </w:r>
            <w:r>
              <w:rPr>
                <w:rFonts w:hint="eastAsia"/>
                <w:lang w:val="en-GB"/>
              </w:rPr>
              <w:t>定期（每年） ：</w:t>
            </w:r>
            <w:r>
              <w:rPr>
                <w:rFonts w:hint="eastAsia"/>
                <w:lang w:val="en-GB" w:eastAsia="zh-CN"/>
              </w:rPr>
              <w:t>2022年5月21日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2022年6月8日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eastAsia="zh-CN"/>
              </w:rPr>
              <w:t>2022年6月29日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9B94B9B"/>
    <w:rsid w:val="54731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18750</Words>
  <Characters>19715</Characters>
  <Lines>150</Lines>
  <Paragraphs>42</Paragraphs>
  <TotalTime>0</TotalTime>
  <ScaleCrop>false</ScaleCrop>
  <LinksUpToDate>false</LinksUpToDate>
  <CharactersWithSpaces>19836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2022-09-21T02:02:23Z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