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line="480" w:lineRule="exact"/>
        <w:jc w:val="center"/>
        <w:rPr>
          <w:rFonts w:hint="eastAsia" w:ascii="隶书" w:hAnsi="宋体" w:eastAsia="隶书"/>
          <w:bCs/>
          <w:color w:val="000000" w:themeColor="text1"/>
          <w:sz w:val="36"/>
          <w:szCs w:val="36"/>
        </w:rPr>
      </w:pPr>
    </w:p>
    <w:p>
      <w:pPr>
        <w:spacing w:line="480" w:lineRule="exact"/>
        <w:jc w:val="center"/>
        <w:rPr>
          <w:rFonts w:ascii="隶书" w:hAnsi="宋体" w:eastAsia="隶书"/>
          <w:bCs/>
          <w:color w:val="000000" w:themeColor="text1"/>
          <w:sz w:val="36"/>
          <w:szCs w:val="36"/>
        </w:rPr>
      </w:pPr>
      <w:r>
        <w:rPr>
          <w:rFonts w:hint="eastAsia" w:ascii="隶书" w:hAnsi="宋体" w:eastAsia="隶书"/>
          <w:bCs/>
          <w:color w:val="000000" w:themeColor="text1"/>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76"/>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160" w:type="dxa"/>
            <w:vMerge w:val="restart"/>
            <w:vAlign w:val="center"/>
          </w:tcPr>
          <w:p>
            <w:pPr>
              <w:ind w:firstLine="420" w:firstLineChars="200"/>
              <w:rPr>
                <w:rFonts w:hint="eastAsia" w:ascii="Times New Roman" w:hAnsi="Times New Roman" w:cs="Times New Roman"/>
                <w:color w:val="auto"/>
                <w:szCs w:val="22"/>
                <w:lang w:val="en-US" w:eastAsia="zh-CN"/>
              </w:rPr>
            </w:pPr>
            <w:r>
              <w:rPr>
                <w:rFonts w:hint="eastAsia" w:ascii="Times New Roman" w:hAnsi="Times New Roman" w:cs="Times New Roman"/>
                <w:color w:val="auto"/>
                <w:szCs w:val="22"/>
                <w:lang w:val="en-US" w:eastAsia="zh-CN"/>
              </w:rPr>
              <w:t>过程与活动、</w:t>
            </w:r>
          </w:p>
          <w:p>
            <w:pPr>
              <w:ind w:firstLine="420" w:firstLineChars="200"/>
              <w:rPr>
                <w:rFonts w:hint="eastAsia" w:ascii="Times New Roman" w:hAnsi="Times New Roman" w:cs="Times New Roman"/>
                <w:color w:val="auto"/>
                <w:szCs w:val="22"/>
                <w:lang w:val="en-US" w:eastAsia="zh-CN"/>
              </w:rPr>
            </w:pPr>
            <w:r>
              <w:rPr>
                <w:rFonts w:hint="eastAsia" w:ascii="Times New Roman" w:hAnsi="Times New Roman" w:cs="Times New Roman"/>
                <w:color w:val="auto"/>
                <w:szCs w:val="22"/>
                <w:lang w:val="en-US" w:eastAsia="zh-CN"/>
              </w:rPr>
              <w:t>抽样计划</w:t>
            </w:r>
          </w:p>
        </w:tc>
        <w:tc>
          <w:tcPr>
            <w:tcW w:w="960" w:type="dxa"/>
            <w:vMerge w:val="restart"/>
            <w:vAlign w:val="center"/>
          </w:tcPr>
          <w:p>
            <w:pPr>
              <w:jc w:val="center"/>
              <w:rPr>
                <w:rFonts w:hint="eastAsia" w:ascii="Times New Roman" w:hAnsi="Times New Roman" w:cs="Times New Roman"/>
                <w:color w:val="auto"/>
                <w:szCs w:val="22"/>
                <w:lang w:val="en-US" w:eastAsia="zh-CN"/>
              </w:rPr>
            </w:pPr>
            <w:r>
              <w:rPr>
                <w:rFonts w:hint="eastAsia" w:ascii="Times New Roman" w:hAnsi="Times New Roman" w:cs="Times New Roman"/>
                <w:color w:val="auto"/>
                <w:szCs w:val="22"/>
                <w:lang w:val="en-US" w:eastAsia="zh-CN"/>
              </w:rPr>
              <w:t>涉及</w:t>
            </w:r>
          </w:p>
          <w:p>
            <w:pPr>
              <w:jc w:val="center"/>
              <w:rPr>
                <w:rFonts w:hint="eastAsia" w:ascii="Times New Roman" w:hAnsi="Times New Roman" w:cs="Times New Roman"/>
                <w:color w:val="auto"/>
                <w:szCs w:val="22"/>
                <w:lang w:val="en-US" w:eastAsia="zh-CN"/>
              </w:rPr>
            </w:pPr>
            <w:r>
              <w:rPr>
                <w:rFonts w:hint="eastAsia" w:ascii="Times New Roman" w:hAnsi="Times New Roman" w:cs="Times New Roman"/>
                <w:color w:val="auto"/>
                <w:szCs w:val="22"/>
                <w:lang w:val="en-US" w:eastAsia="zh-CN"/>
              </w:rPr>
              <w:t>条款</w:t>
            </w:r>
          </w:p>
        </w:tc>
        <w:tc>
          <w:tcPr>
            <w:tcW w:w="10376" w:type="dxa"/>
            <w:vAlign w:val="center"/>
          </w:tcPr>
          <w:p>
            <w:pP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受审核部门：管理层    主管领导： </w:t>
            </w:r>
            <w:r>
              <w:rPr>
                <w:rFonts w:hint="eastAsia"/>
                <w:color w:val="auto"/>
                <w:szCs w:val="21"/>
              </w:rPr>
              <w:t>总经理：</w:t>
            </w:r>
            <w:r>
              <w:rPr>
                <w:rFonts w:hint="eastAsia"/>
                <w:color w:val="auto"/>
                <w:szCs w:val="21"/>
                <w:lang w:eastAsia="zh-CN"/>
              </w:rPr>
              <w:t>吴红玉</w:t>
            </w:r>
            <w:r>
              <w:rPr>
                <w:rFonts w:hint="eastAsia"/>
                <w:color w:val="auto"/>
                <w:szCs w:val="21"/>
              </w:rPr>
              <w:t xml:space="preserve">     陪同人员： </w:t>
            </w:r>
            <w:r>
              <w:rPr>
                <w:rFonts w:hint="eastAsia"/>
                <w:color w:val="auto"/>
                <w:szCs w:val="21"/>
                <w:lang w:val="en-US" w:eastAsia="zh-CN"/>
              </w:rPr>
              <w:t>张玲</w:t>
            </w:r>
          </w:p>
        </w:tc>
        <w:tc>
          <w:tcPr>
            <w:tcW w:w="1213" w:type="dxa"/>
            <w:vMerge w:val="restart"/>
            <w:vAlign w:val="center"/>
          </w:tcPr>
          <w:p>
            <w:pPr>
              <w:tabs>
                <w:tab w:val="center" w:pos="498"/>
              </w:tabs>
              <w:jc w:val="center"/>
              <w:rPr>
                <w:rFonts w:hint="eastAsia" w:ascii="Times New Roman" w:hAnsi="Times New Roman" w:cs="Times New Roman"/>
                <w:color w:val="auto"/>
                <w:szCs w:val="22"/>
                <w:lang w:val="en-US" w:eastAsia="zh-CN"/>
              </w:rPr>
            </w:pPr>
            <w:r>
              <w:rPr>
                <w:rFonts w:hint="eastAsia" w:ascii="Times New Roman" w:hAnsi="Times New Roman" w:cs="Times New Roman"/>
                <w:color w:val="auto"/>
                <w:szCs w:val="22"/>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76" w:type="dxa"/>
            <w:vAlign w:val="center"/>
          </w:tcPr>
          <w:p>
            <w:pP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审核员：王宁敏</w:t>
            </w:r>
            <w:r>
              <w:rPr>
                <w:rFonts w:hint="eastAsia"/>
                <w:color w:val="auto"/>
                <w:sz w:val="21"/>
                <w:szCs w:val="21"/>
                <w:lang w:eastAsia="zh-CN"/>
              </w:rPr>
              <w:t>（远程</w:t>
            </w:r>
            <w:r>
              <w:rPr>
                <w:rFonts w:hint="eastAsia"/>
                <w:color w:val="auto"/>
                <w:sz w:val="21"/>
                <w:szCs w:val="21"/>
                <w:lang w:val="en-US" w:eastAsia="zh-CN"/>
              </w:rPr>
              <w:t>-腾讯会议、</w:t>
            </w:r>
            <w:r>
              <w:rPr>
                <w:rFonts w:hint="eastAsia"/>
                <w:color w:val="auto"/>
                <w:sz w:val="21"/>
                <w:szCs w:val="21"/>
                <w:lang w:eastAsia="zh-CN"/>
              </w:rPr>
              <w:t>微信群、电话、视频等）</w:t>
            </w:r>
            <w:r>
              <w:rPr>
                <w:rFonts w:hint="eastAsia" w:ascii="Times New Roman" w:hAnsi="Times New Roman" w:eastAsia="宋体" w:cs="Times New Roman"/>
                <w:color w:val="auto"/>
                <w:sz w:val="21"/>
                <w:szCs w:val="21"/>
                <w:lang w:val="en-US" w:eastAsia="zh-CN"/>
              </w:rPr>
              <w:t xml:space="preserve"> 审核时间：2022-0</w:t>
            </w:r>
            <w:r>
              <w:rPr>
                <w:rFonts w:hint="eastAsia" w:cs="Times New Roman"/>
                <w:color w:val="auto"/>
                <w:sz w:val="21"/>
                <w:szCs w:val="21"/>
                <w:lang w:val="en-US" w:eastAsia="zh-CN"/>
              </w:rPr>
              <w:t>9</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27</w:t>
            </w:r>
            <w:r>
              <w:rPr>
                <w:rFonts w:hint="eastAsia" w:ascii="Times New Roman" w:hAnsi="Times New Roman" w:eastAsia="宋体" w:cs="Times New Roman"/>
                <w:color w:val="auto"/>
                <w:sz w:val="21"/>
                <w:szCs w:val="21"/>
                <w:lang w:val="en-US" w:eastAsia="zh-CN"/>
              </w:rPr>
              <w:t xml:space="preserve">  </w:t>
            </w:r>
            <w:r>
              <w:rPr>
                <w:rFonts w:hint="eastAsia" w:cs="Times New Roman"/>
                <w:color w:val="auto"/>
                <w:sz w:val="21"/>
                <w:szCs w:val="21"/>
                <w:lang w:val="en-US" w:eastAsia="zh-CN"/>
              </w:rPr>
              <w:t>13:30-17:00</w:t>
            </w:r>
          </w:p>
        </w:tc>
        <w:tc>
          <w:tcPr>
            <w:tcW w:w="1213"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76" w:type="dxa"/>
            <w:vAlign w:val="center"/>
          </w:tcPr>
          <w:p>
            <w:pPr>
              <w:tabs>
                <w:tab w:val="left" w:pos="709"/>
              </w:tabs>
              <w:ind w:right="57"/>
              <w:jc w:val="left"/>
              <w:rPr>
                <w:rFonts w:hint="default" w:ascii="Times New Roman" w:hAnsi="Times New Roman" w:cs="Times New Roman"/>
                <w:color w:val="auto"/>
                <w:szCs w:val="22"/>
                <w:lang w:val="en-US" w:eastAsia="zh-CN"/>
              </w:rPr>
            </w:pPr>
            <w:r>
              <w:rPr>
                <w:rFonts w:hint="eastAsia" w:ascii="Times New Roman" w:hAnsi="Times New Roman" w:cs="Times New Roman"/>
                <w:color w:val="auto"/>
                <w:szCs w:val="22"/>
                <w:lang w:val="en-US" w:eastAsia="zh-CN"/>
              </w:rPr>
              <w:t>审核条款： 4.1 理解组织及其所处的环境、4.2理解相关方的需求和期望、4.3 确定能源管理体系的范围、4.4 能源管理体系、5.1 领导作用和承诺、5.2 能源方针、5.3 组织的岗位、职责和权限、6.1 应对风险和机遇的措施、7.1 资源</w:t>
            </w:r>
            <w:r>
              <w:rPr>
                <w:rFonts w:hint="eastAsia"/>
                <w:color w:val="auto"/>
                <w:sz w:val="21"/>
                <w:szCs w:val="21"/>
                <w:lang w:eastAsia="zh-CN"/>
              </w:rPr>
              <w:t>、</w:t>
            </w:r>
            <w:r>
              <w:rPr>
                <w:rFonts w:hint="eastAsia" w:ascii="Times New Roman" w:hAnsi="Times New Roman" w:cs="Times New Roman"/>
                <w:color w:val="auto"/>
                <w:szCs w:val="22"/>
                <w:lang w:val="en-US" w:eastAsia="zh-CN"/>
              </w:rPr>
              <w:t>9.3 管理评审</w:t>
            </w:r>
            <w:r>
              <w:rPr>
                <w:rFonts w:hint="eastAsia" w:cs="Times New Roman"/>
                <w:color w:val="auto"/>
                <w:szCs w:val="22"/>
                <w:lang w:val="en-US" w:eastAsia="zh-CN"/>
              </w:rPr>
              <w:t>、</w:t>
            </w:r>
            <w:r>
              <w:rPr>
                <w:rFonts w:hint="eastAsia" w:ascii="Times New Roman" w:hAnsi="Times New Roman" w:cs="Times New Roman"/>
                <w:color w:val="auto"/>
                <w:szCs w:val="22"/>
                <w:lang w:val="en-US" w:eastAsia="zh-CN"/>
              </w:rPr>
              <w:t>10.2 持续改进</w:t>
            </w:r>
            <w:r>
              <w:rPr>
                <w:rFonts w:hint="eastAsia" w:cs="Times New Roman"/>
                <w:color w:val="auto"/>
                <w:szCs w:val="22"/>
                <w:lang w:val="en-US" w:eastAsia="zh-CN"/>
              </w:rPr>
              <w:t>。</w:t>
            </w:r>
            <w:r>
              <w:rPr>
                <w:rFonts w:hint="eastAsia" w:eastAsia="宋体"/>
                <w:color w:val="auto"/>
                <w:sz w:val="21"/>
                <w:szCs w:val="21"/>
                <w:lang w:val="en-US" w:eastAsia="zh-CN"/>
              </w:rPr>
              <w:t>EnMS：4.1/ 4.2 /4.3 /4.4 /5.1 /5.2 /5.3/ 6.1/ 6.2/7.1</w:t>
            </w:r>
            <w:r>
              <w:rPr>
                <w:rFonts w:hint="eastAsia"/>
                <w:color w:val="auto"/>
                <w:sz w:val="21"/>
                <w:szCs w:val="21"/>
                <w:lang w:val="en-US" w:eastAsia="zh-CN"/>
              </w:rPr>
              <w:t>/</w:t>
            </w:r>
            <w:r>
              <w:rPr>
                <w:rFonts w:hint="eastAsia" w:eastAsia="宋体"/>
                <w:color w:val="auto"/>
                <w:sz w:val="21"/>
                <w:szCs w:val="21"/>
                <w:lang w:val="en-US" w:eastAsia="zh-CN"/>
              </w:rPr>
              <w:t>9.3 /10.2</w:t>
            </w:r>
            <w:r>
              <w:rPr>
                <w:rFonts w:hint="eastAsia"/>
                <w:color w:val="auto"/>
                <w:sz w:val="21"/>
                <w:szCs w:val="21"/>
                <w:lang w:val="en-US" w:eastAsia="zh-CN"/>
              </w:rPr>
              <w:t>。</w:t>
            </w:r>
          </w:p>
        </w:tc>
        <w:tc>
          <w:tcPr>
            <w:tcW w:w="1213"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color w:val="auto"/>
              </w:rPr>
            </w:pPr>
            <w:r>
              <w:rPr>
                <w:rFonts w:hint="eastAsia" w:ascii="Times New Roman" w:hAnsi="Times New Roman" w:cs="Times New Roman"/>
                <w:color w:val="auto"/>
                <w:szCs w:val="22"/>
                <w:lang w:val="en-US" w:eastAsia="zh-CN"/>
              </w:rPr>
              <w:t>了解公司基本情况</w:t>
            </w:r>
          </w:p>
        </w:tc>
        <w:tc>
          <w:tcPr>
            <w:tcW w:w="960" w:type="dxa"/>
          </w:tcPr>
          <w:p>
            <w:pPr>
              <w:rPr>
                <w:color w:val="auto"/>
              </w:rPr>
            </w:pPr>
          </w:p>
        </w:tc>
        <w:tc>
          <w:tcPr>
            <w:tcW w:w="10376" w:type="dxa"/>
          </w:tcPr>
          <w:p>
            <w:pPr>
              <w:ind w:firstLine="420" w:firstLineChars="200"/>
              <w:rPr>
                <w:rFonts w:hint="eastAsia"/>
                <w:color w:val="auto"/>
                <w:lang w:val="en-US" w:eastAsia="zh-CN"/>
              </w:rPr>
            </w:pPr>
            <w:r>
              <w:rPr>
                <w:rFonts w:hint="eastAsia"/>
                <w:color w:val="auto"/>
                <w:lang w:val="en-US" w:eastAsia="zh-CN"/>
              </w:rPr>
              <w:t>嘉兴市南湖保安服务有限公司成立于2005年，现隶属于嘉兴市南湖投资开发建设集团有限公司，是一家专业从事人防、技防、物防、培训、旅游为一体的国有保安公司，公司注册资本1000万元，拥有职工逾1000人，是嘉兴市本级员工人数最多、市场占有率最大、服务质量最好的保安公司。</w:t>
            </w:r>
          </w:p>
          <w:p>
            <w:pPr>
              <w:ind w:firstLine="420" w:firstLineChars="200"/>
              <w:rPr>
                <w:rFonts w:hint="eastAsia"/>
                <w:color w:val="auto"/>
                <w:lang w:val="en-US" w:eastAsia="zh-CN"/>
              </w:rPr>
            </w:pPr>
            <w:r>
              <w:rPr>
                <w:rFonts w:hint="eastAsia"/>
                <w:color w:val="auto"/>
                <w:lang w:val="en-US" w:eastAsia="zh-CN"/>
              </w:rPr>
              <w:t>注册资本1000万元，固定资产：499万元，物业管理服务面积：101784.69平，2021年、2022年办公管理面积分别为1120.49平米、1985平方米。</w:t>
            </w:r>
          </w:p>
          <w:p>
            <w:pPr>
              <w:ind w:firstLine="420" w:firstLineChars="200"/>
              <w:rPr>
                <w:rFonts w:hint="eastAsia"/>
                <w:color w:val="auto"/>
                <w:sz w:val="21"/>
                <w:szCs w:val="21"/>
                <w:lang w:val="en-US" w:eastAsia="zh-CN"/>
              </w:rPr>
            </w:pPr>
            <w:r>
              <w:rPr>
                <w:rFonts w:hint="eastAsia"/>
                <w:color w:val="auto"/>
                <w:szCs w:val="21"/>
              </w:rPr>
              <w:t>总经理：</w:t>
            </w:r>
            <w:r>
              <w:rPr>
                <w:rFonts w:hint="eastAsia"/>
                <w:color w:val="auto"/>
                <w:szCs w:val="21"/>
                <w:lang w:eastAsia="zh-CN"/>
              </w:rPr>
              <w:t>吴红玉。</w:t>
            </w:r>
            <w:r>
              <w:rPr>
                <w:rFonts w:hint="eastAsia"/>
                <w:color w:val="auto"/>
                <w:sz w:val="21"/>
                <w:szCs w:val="21"/>
                <w:lang w:val="en-US" w:eastAsia="zh-CN"/>
              </w:rPr>
              <w:t xml:space="preserve"> </w:t>
            </w:r>
          </w:p>
          <w:p>
            <w:pPr>
              <w:ind w:firstLine="400" w:firstLineChars="200"/>
              <w:rPr>
                <w:rFonts w:hint="eastAsia"/>
                <w:color w:val="auto"/>
                <w:lang w:val="en-US" w:eastAsia="zh-CN"/>
              </w:rPr>
            </w:pPr>
            <w:r>
              <w:rPr>
                <w:rFonts w:hint="eastAsia"/>
                <w:color w:val="auto"/>
                <w:sz w:val="20"/>
              </w:rPr>
              <w:t>公司</w:t>
            </w:r>
            <w:r>
              <w:rPr>
                <w:rFonts w:hint="eastAsia"/>
                <w:color w:val="auto"/>
                <w:szCs w:val="21"/>
              </w:rPr>
              <w:t>总人数</w:t>
            </w:r>
            <w:r>
              <w:rPr>
                <w:rFonts w:hint="eastAsia"/>
                <w:color w:val="auto"/>
                <w:szCs w:val="21"/>
                <w:lang w:val="en-US" w:eastAsia="zh-CN"/>
              </w:rPr>
              <w:t>1000</w:t>
            </w:r>
            <w:r>
              <w:rPr>
                <w:rFonts w:hint="eastAsia"/>
                <w:color w:val="auto"/>
                <w:szCs w:val="21"/>
              </w:rPr>
              <w:t>人，其中</w:t>
            </w:r>
            <w:r>
              <w:rPr>
                <w:rFonts w:hint="eastAsia"/>
                <w:color w:val="auto"/>
                <w:szCs w:val="21"/>
                <w:lang w:val="en-US" w:eastAsia="zh-CN"/>
              </w:rPr>
              <w:t>能源</w:t>
            </w:r>
            <w:r>
              <w:rPr>
                <w:rFonts w:hint="eastAsia"/>
                <w:color w:val="auto"/>
                <w:szCs w:val="21"/>
              </w:rPr>
              <w:t>体系覆盖人数</w:t>
            </w:r>
            <w:r>
              <w:rPr>
                <w:rFonts w:hint="eastAsia"/>
                <w:color w:val="auto"/>
                <w:szCs w:val="21"/>
                <w:lang w:val="en-US" w:eastAsia="zh-CN"/>
              </w:rPr>
              <w:t>63</w:t>
            </w:r>
            <w:r>
              <w:rPr>
                <w:rFonts w:hint="eastAsia"/>
                <w:color w:val="auto"/>
                <w:szCs w:val="21"/>
              </w:rPr>
              <w:t>人</w:t>
            </w:r>
            <w:r>
              <w:rPr>
                <w:rFonts w:hint="eastAsia"/>
                <w:color w:val="auto"/>
                <w:szCs w:val="22"/>
              </w:rPr>
              <w:t xml:space="preserve">。管理人员：11人 </w:t>
            </w:r>
            <w:r>
              <w:rPr>
                <w:rFonts w:hint="eastAsia"/>
                <w:color w:val="auto"/>
                <w:szCs w:val="22"/>
                <w:lang w:val="en-US" w:eastAsia="zh-CN"/>
              </w:rPr>
              <w:t>其他</w:t>
            </w:r>
            <w:r>
              <w:rPr>
                <w:rFonts w:hint="eastAsia"/>
                <w:color w:val="auto"/>
                <w:szCs w:val="22"/>
              </w:rPr>
              <w:t>人员52，</w:t>
            </w:r>
            <w:r>
              <w:rPr>
                <w:rFonts w:hint="eastAsia"/>
                <w:color w:val="auto"/>
                <w:szCs w:val="22"/>
                <w:lang w:val="en-US" w:eastAsia="zh-CN"/>
              </w:rPr>
              <w:t>大专以上人员12人，</w:t>
            </w:r>
            <w:r>
              <w:rPr>
                <w:rFonts w:hint="eastAsia"/>
                <w:color w:val="auto"/>
                <w:szCs w:val="22"/>
              </w:rPr>
              <w:t>保安18（门卫、巡逻）保洁34(保洁，小区清扫、花木护理）。</w:t>
            </w:r>
          </w:p>
          <w:p>
            <w:pPr>
              <w:ind w:firstLine="420" w:firstLineChars="200"/>
              <w:rPr>
                <w:rFonts w:hint="eastAsia" w:eastAsiaTheme="minorEastAsia"/>
                <w:color w:val="auto"/>
                <w:lang w:val="en-US" w:eastAsia="zh-CN"/>
              </w:rPr>
            </w:pPr>
            <w:r>
              <w:rPr>
                <w:rFonts w:hint="eastAsia"/>
                <w:color w:val="auto"/>
                <w:lang w:val="en-US" w:eastAsia="zh-CN"/>
              </w:rPr>
              <w:t>营业执照注册地址：</w:t>
            </w:r>
            <w:r>
              <w:rPr>
                <w:rFonts w:hint="eastAsia" w:asciiTheme="minorEastAsia" w:hAnsiTheme="minorEastAsia" w:eastAsiaTheme="minorEastAsia"/>
                <w:color w:val="auto"/>
                <w:sz w:val="20"/>
              </w:rPr>
              <w:t>浙江省嘉兴市南湖区解放街道城东路711号（原嘉兴市农业机械化技术培训学校内及沿街4间店铺）</w:t>
            </w:r>
            <w:r>
              <w:rPr>
                <w:rFonts w:hint="eastAsia" w:asciiTheme="minorEastAsia" w:hAnsiTheme="minorEastAsia" w:eastAsiaTheme="minorEastAsia"/>
                <w:color w:val="auto"/>
                <w:sz w:val="20"/>
                <w:lang w:eastAsia="zh-CN"/>
              </w:rPr>
              <w:t>。</w:t>
            </w:r>
          </w:p>
          <w:p>
            <w:pPr>
              <w:ind w:firstLine="420" w:firstLineChars="200"/>
              <w:rPr>
                <w:rFonts w:hint="eastAsia"/>
                <w:color w:val="auto"/>
                <w:lang w:val="en-US" w:eastAsia="zh-CN"/>
              </w:rPr>
            </w:pPr>
            <w:r>
              <w:rPr>
                <w:rFonts w:hint="eastAsia"/>
                <w:color w:val="auto"/>
                <w:lang w:val="en-US" w:eastAsia="zh-CN"/>
              </w:rPr>
              <w:t>经营地址：</w:t>
            </w:r>
            <w:r>
              <w:rPr>
                <w:rFonts w:hint="eastAsia" w:asciiTheme="minorEastAsia" w:hAnsiTheme="minorEastAsia" w:eastAsiaTheme="minorEastAsia"/>
                <w:color w:val="auto"/>
                <w:sz w:val="20"/>
              </w:rPr>
              <w:t>浙江省嘉兴市南湖区解放街道城东路711号（原嘉兴市农业机械化技术培训学校内及沿街4间店铺）</w:t>
            </w:r>
            <w:r>
              <w:rPr>
                <w:rFonts w:hint="eastAsia"/>
                <w:color w:val="auto"/>
                <w:lang w:val="en-US" w:eastAsia="zh-CN"/>
              </w:rPr>
              <w:t>，与注册地址一致，与生产或服务现场一致（但是有多场所）。</w:t>
            </w:r>
          </w:p>
          <w:p>
            <w:pPr>
              <w:ind w:firstLine="420" w:firstLineChars="200"/>
              <w:rPr>
                <w:rFonts w:hint="eastAsia"/>
                <w:color w:val="auto"/>
                <w:lang w:val="en-US" w:eastAsia="zh-CN"/>
              </w:rPr>
            </w:pPr>
            <w:r>
              <w:rPr>
                <w:rFonts w:hint="eastAsia"/>
                <w:color w:val="auto"/>
                <w:lang w:val="en-US" w:eastAsia="zh-CN"/>
              </w:rPr>
              <w:t>能源管理体系覆盖的人数总计 63人，远程审核予以确认。</w:t>
            </w: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160" w:type="dxa"/>
          </w:tcPr>
          <w:p>
            <w:pPr>
              <w:rPr>
                <w:rFonts w:hint="eastAsia" w:ascii="宋体" w:hAnsi="宋体" w:cs="Times New Roman"/>
                <w:color w:val="auto"/>
                <w:sz w:val="21"/>
                <w:szCs w:val="21"/>
                <w:lang w:val="en-US" w:eastAsia="zh-CN"/>
              </w:rPr>
            </w:pPr>
            <w:r>
              <w:rPr>
                <w:rFonts w:hint="eastAsia" w:ascii="宋体" w:hAnsi="宋体" w:eastAsia="宋体" w:cs="Times New Roman"/>
                <w:color w:val="auto"/>
                <w:sz w:val="21"/>
                <w:szCs w:val="21"/>
                <w:lang w:val="en-US" w:eastAsia="zh-CN"/>
              </w:rPr>
              <w:t>理解组织及其所处的环境</w:t>
            </w:r>
            <w:r>
              <w:rPr>
                <w:rFonts w:hint="eastAsia" w:ascii="宋体" w:hAnsi="宋体" w:cs="Times New Roman"/>
                <w:color w:val="auto"/>
                <w:sz w:val="21"/>
                <w:szCs w:val="21"/>
                <w:lang w:val="en-US" w:eastAsia="zh-CN"/>
              </w:rPr>
              <w:t>，</w:t>
            </w:r>
          </w:p>
          <w:p>
            <w:pPr>
              <w:rPr>
                <w:rFonts w:hint="default"/>
                <w:color w:val="auto"/>
                <w:lang w:val="en-US"/>
              </w:rPr>
            </w:pPr>
            <w:r>
              <w:rPr>
                <w:rFonts w:hint="eastAsia" w:ascii="宋体" w:hAnsi="宋体" w:eastAsia="宋体" w:cs="Times New Roman"/>
                <w:color w:val="auto"/>
                <w:sz w:val="21"/>
                <w:szCs w:val="21"/>
                <w:lang w:val="en-US" w:eastAsia="zh-CN"/>
              </w:rPr>
              <w:t>理解相关方的需求和期望</w:t>
            </w:r>
          </w:p>
        </w:tc>
        <w:tc>
          <w:tcPr>
            <w:tcW w:w="960" w:type="dxa"/>
          </w:tcPr>
          <w:p>
            <w:pPr>
              <w:rPr>
                <w:rFonts w:hint="default"/>
                <w:color w:val="auto"/>
                <w:lang w:val="en-US"/>
              </w:rPr>
            </w:pPr>
            <w:r>
              <w:rPr>
                <w:rFonts w:hint="eastAsia" w:ascii="宋体" w:hAnsi="宋体" w:cs="Times New Roman"/>
                <w:color w:val="auto"/>
                <w:sz w:val="21"/>
                <w:szCs w:val="21"/>
                <w:lang w:val="en-US" w:eastAsia="zh-CN"/>
              </w:rPr>
              <w:t>4</w:t>
            </w:r>
            <w:r>
              <w:rPr>
                <w:rFonts w:hint="eastAsia" w:ascii="宋体" w:hAnsi="宋体" w:eastAsia="宋体" w:cs="Times New Roman"/>
                <w:color w:val="auto"/>
                <w:sz w:val="21"/>
                <w:szCs w:val="21"/>
                <w:lang w:val="en-US" w:eastAsia="zh-CN"/>
              </w:rPr>
              <w:t>.1</w:t>
            </w:r>
            <w:r>
              <w:rPr>
                <w:rFonts w:hint="eastAsia" w:ascii="宋体" w:hAnsi="宋体" w:cs="Times New Roman"/>
                <w:color w:val="auto"/>
                <w:sz w:val="21"/>
                <w:szCs w:val="21"/>
                <w:lang w:val="en-US" w:eastAsia="zh-CN"/>
              </w:rPr>
              <w:t>/4.2</w:t>
            </w:r>
          </w:p>
        </w:tc>
        <w:tc>
          <w:tcPr>
            <w:tcW w:w="10376" w:type="dxa"/>
          </w:tcPr>
          <w:p>
            <w:pPr>
              <w:ind w:firstLine="420" w:firstLineChars="200"/>
              <w:jc w:val="left"/>
              <w:rPr>
                <w:rFonts w:hint="default"/>
                <w:color w:val="auto"/>
                <w:lang w:val="en-US" w:eastAsia="zh-CN"/>
              </w:rPr>
            </w:pPr>
            <w:r>
              <w:rPr>
                <w:rFonts w:hint="default"/>
                <w:color w:val="auto"/>
                <w:lang w:val="en-US" w:eastAsia="zh-CN"/>
              </w:rPr>
              <w:t>公司确定与其宗旨相关并影响其实现能源管理体系预期结果的能力的外部和内部问题。公司领导层在了解和识别内外部因素时，</w:t>
            </w:r>
            <w:r>
              <w:rPr>
                <w:rFonts w:hint="eastAsia"/>
                <w:color w:val="auto"/>
                <w:lang w:val="en-US" w:eastAsia="zh-CN"/>
              </w:rPr>
              <w:t>已经</w:t>
            </w:r>
            <w:r>
              <w:rPr>
                <w:rFonts w:hint="default"/>
                <w:color w:val="auto"/>
                <w:lang w:val="en-US" w:eastAsia="zh-CN"/>
              </w:rPr>
              <w:t>充分考虑企业活动、产品和服务提供过程中发生相互作用的因素，并基于生命周期的观点实施能源因素的管理。公司领导层应采用适宜的方法，如定期召开经营管理会议，对这些内部和外部因素的中高风险进行监视和评审，确保充分识别、消除，降低或减缓风险，充分利用可能的发展机遇，保证实现企业效益及能源管理体系预期结果</w:t>
            </w:r>
            <w:r>
              <w:rPr>
                <w:rFonts w:hint="eastAsia"/>
                <w:color w:val="auto"/>
                <w:lang w:val="en-US" w:eastAsia="zh-CN"/>
              </w:rPr>
              <w:t>。</w:t>
            </w:r>
            <w:r>
              <w:rPr>
                <w:rFonts w:hint="default"/>
                <w:color w:val="auto"/>
                <w:lang w:val="en-US" w:eastAsia="zh-CN"/>
              </w:rPr>
              <w:t xml:space="preserve"> </w:t>
            </w:r>
          </w:p>
          <w:p>
            <w:pPr>
              <w:ind w:firstLine="420" w:firstLineChars="200"/>
              <w:jc w:val="left"/>
              <w:rPr>
                <w:rFonts w:hint="default"/>
                <w:color w:val="auto"/>
                <w:lang w:val="en-US" w:eastAsia="zh-CN"/>
              </w:rPr>
            </w:pPr>
            <w:r>
              <w:rPr>
                <w:rFonts w:hint="eastAsia"/>
                <w:color w:val="auto"/>
                <w:lang w:val="en-US" w:eastAsia="zh-CN"/>
              </w:rPr>
              <w:t>提供《能源相关方需求和期望一览表》，按照：序号、相关方类型、相关方名称、要求与期望、是否为合规义务、监测频率、监测部门等进行登记。</w:t>
            </w:r>
          </w:p>
          <w:p>
            <w:pPr>
              <w:ind w:firstLine="420" w:firstLineChars="200"/>
              <w:rPr>
                <w:rFonts w:hint="default" w:eastAsia="宋体"/>
                <w:color w:val="auto"/>
                <w:sz w:val="21"/>
                <w:szCs w:val="21"/>
                <w:lang w:val="en-US" w:eastAsia="zh-CN"/>
              </w:rPr>
            </w:pPr>
            <w:r>
              <w:rPr>
                <w:rFonts w:hint="default"/>
                <w:color w:val="auto"/>
                <w:lang w:val="en-US" w:eastAsia="zh-CN"/>
              </w:rPr>
              <w:t>公司确定与</w:t>
            </w:r>
            <w:r>
              <w:rPr>
                <w:rFonts w:hint="eastAsia"/>
                <w:color w:val="auto"/>
                <w:lang w:val="en-US" w:eastAsia="zh-CN"/>
              </w:rPr>
              <w:t>能源</w:t>
            </w:r>
            <w:r>
              <w:rPr>
                <w:rFonts w:hint="default"/>
                <w:color w:val="auto"/>
                <w:lang w:val="en-US" w:eastAsia="zh-CN"/>
              </w:rPr>
              <w:t>管理体系有关的相关方的要求，此类相关方包括但不限于以下方面：直接顾客、 邻近单位</w:t>
            </w:r>
            <w:r>
              <w:rPr>
                <w:rFonts w:hint="eastAsia"/>
                <w:color w:val="auto"/>
                <w:lang w:val="en-US" w:eastAsia="zh-CN"/>
              </w:rPr>
              <w:t>、</w:t>
            </w:r>
            <w:r>
              <w:rPr>
                <w:rFonts w:hint="default"/>
                <w:color w:val="auto"/>
                <w:lang w:val="en-US" w:eastAsia="zh-CN"/>
              </w:rPr>
              <w:t>设备供应商</w:t>
            </w:r>
            <w:r>
              <w:rPr>
                <w:rFonts w:hint="eastAsia"/>
                <w:color w:val="auto"/>
                <w:lang w:val="en-US" w:eastAsia="zh-CN"/>
              </w:rPr>
              <w:t>、</w:t>
            </w:r>
            <w:r>
              <w:rPr>
                <w:rFonts w:hint="default"/>
                <w:color w:val="auto"/>
                <w:lang w:val="en-US" w:eastAsia="zh-CN"/>
              </w:rPr>
              <w:t>材料供应商</w:t>
            </w:r>
            <w:r>
              <w:rPr>
                <w:rFonts w:hint="eastAsia"/>
                <w:color w:val="auto"/>
                <w:lang w:val="en-US" w:eastAsia="zh-CN"/>
              </w:rPr>
              <w:t>、</w:t>
            </w:r>
            <w:r>
              <w:rPr>
                <w:rFonts w:hint="default"/>
                <w:color w:val="auto"/>
                <w:lang w:val="en-US" w:eastAsia="zh-CN"/>
              </w:rPr>
              <w:t>外来施工单位/个人</w:t>
            </w:r>
            <w:r>
              <w:rPr>
                <w:rFonts w:hint="eastAsia"/>
                <w:color w:val="auto"/>
                <w:lang w:val="en-US" w:eastAsia="zh-CN"/>
              </w:rPr>
              <w:t>、</w:t>
            </w:r>
            <w:r>
              <w:rPr>
                <w:rFonts w:hint="default"/>
                <w:color w:val="auto"/>
                <w:lang w:val="en-US" w:eastAsia="zh-CN"/>
              </w:rPr>
              <w:t>行政合作单位</w:t>
            </w:r>
            <w:r>
              <w:rPr>
                <w:rFonts w:hint="eastAsia"/>
                <w:color w:val="auto"/>
                <w:lang w:val="en-US" w:eastAsia="zh-CN"/>
              </w:rPr>
              <w:t>、</w:t>
            </w:r>
            <w:r>
              <w:rPr>
                <w:rFonts w:hint="default"/>
                <w:color w:val="auto"/>
                <w:lang w:val="en-US" w:eastAsia="zh-CN"/>
              </w:rPr>
              <w:t>物流公司</w:t>
            </w:r>
            <w:r>
              <w:rPr>
                <w:rFonts w:hint="eastAsia"/>
                <w:color w:val="auto"/>
                <w:lang w:val="en-US" w:eastAsia="zh-CN"/>
              </w:rPr>
              <w:t>、</w:t>
            </w:r>
            <w:r>
              <w:rPr>
                <w:rFonts w:hint="default"/>
                <w:color w:val="auto"/>
                <w:lang w:val="en-US" w:eastAsia="zh-CN"/>
              </w:rPr>
              <w:t>第三方认证服务机构</w:t>
            </w:r>
            <w:r>
              <w:rPr>
                <w:rFonts w:hint="eastAsia"/>
                <w:color w:val="auto"/>
                <w:lang w:val="en-US" w:eastAsia="zh-CN"/>
              </w:rPr>
              <w:t>、</w:t>
            </w:r>
            <w:r>
              <w:rPr>
                <w:rFonts w:hint="default"/>
                <w:color w:val="auto"/>
                <w:lang w:val="en-US" w:eastAsia="zh-CN"/>
              </w:rPr>
              <w:t>第三方监测机构</w:t>
            </w:r>
            <w:r>
              <w:rPr>
                <w:rFonts w:hint="eastAsia"/>
                <w:color w:val="auto"/>
                <w:lang w:val="en-US" w:eastAsia="zh-CN"/>
              </w:rPr>
              <w:t>、</w:t>
            </w:r>
            <w:r>
              <w:rPr>
                <w:rFonts w:hint="default"/>
                <w:color w:val="auto"/>
                <w:lang w:val="en-US" w:eastAsia="zh-CN"/>
              </w:rPr>
              <w:t>固体废物转移处理机构等</w:t>
            </w:r>
            <w:r>
              <w:rPr>
                <w:rFonts w:hint="default" w:eastAsia="宋体"/>
                <w:color w:val="auto"/>
                <w:sz w:val="21"/>
                <w:szCs w:val="21"/>
                <w:lang w:val="en-US" w:eastAsia="zh-CN"/>
              </w:rPr>
              <w:t>。</w:t>
            </w:r>
          </w:p>
          <w:p>
            <w:pPr>
              <w:ind w:firstLine="420" w:firstLineChars="200"/>
              <w:rPr>
                <w:rFonts w:hint="default"/>
                <w:color w:val="auto"/>
                <w:lang w:val="en-US" w:eastAsia="zh-CN"/>
              </w:rPr>
            </w:pPr>
            <w:r>
              <w:rPr>
                <w:rFonts w:hint="eastAsia" w:eastAsia="宋体"/>
                <w:color w:val="auto"/>
                <w:sz w:val="21"/>
                <w:szCs w:val="21"/>
                <w:lang w:val="en-US" w:eastAsia="zh-CN"/>
              </w:rPr>
              <w:t>公司的能源管理涉及的内外部环境因素、相关方的需求和期望等基本识别到位，并明确了检测频率和监测部门。满足要求。</w:t>
            </w: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160" w:type="dxa"/>
          </w:tcPr>
          <w:p>
            <w:pPr>
              <w:rPr>
                <w:color w:val="auto"/>
              </w:rPr>
            </w:pPr>
            <w:r>
              <w:rPr>
                <w:rFonts w:hint="eastAsia" w:ascii="宋体" w:hAnsi="宋体" w:eastAsia="宋体" w:cs="Times New Roman"/>
                <w:color w:val="auto"/>
                <w:sz w:val="21"/>
                <w:szCs w:val="21"/>
                <w:lang w:val="en-US" w:eastAsia="zh-CN"/>
              </w:rPr>
              <w:t>确定能源管理体系的范围</w:t>
            </w:r>
          </w:p>
        </w:tc>
        <w:tc>
          <w:tcPr>
            <w:tcW w:w="960" w:type="dxa"/>
          </w:tcPr>
          <w:p>
            <w:pPr>
              <w:rPr>
                <w:rFonts w:hint="eastAsia" w:eastAsia="宋体"/>
                <w:color w:val="auto"/>
                <w:lang w:eastAsia="zh-CN"/>
              </w:rPr>
            </w:pPr>
            <w:r>
              <w:rPr>
                <w:rFonts w:hint="eastAsia" w:ascii="宋体" w:hAnsi="宋体" w:cs="Times New Roman"/>
                <w:color w:val="auto"/>
                <w:sz w:val="21"/>
                <w:szCs w:val="21"/>
                <w:lang w:val="en-US" w:eastAsia="zh-CN"/>
              </w:rPr>
              <w:t>4</w:t>
            </w:r>
            <w:r>
              <w:rPr>
                <w:rFonts w:hint="eastAsia" w:ascii="宋体" w:hAnsi="宋体" w:eastAsia="宋体" w:cs="Times New Roman"/>
                <w:color w:val="auto"/>
                <w:sz w:val="21"/>
                <w:szCs w:val="21"/>
              </w:rPr>
              <w:t>.</w:t>
            </w:r>
            <w:r>
              <w:rPr>
                <w:rFonts w:hint="eastAsia" w:ascii="宋体" w:hAnsi="宋体" w:cs="Times New Roman"/>
                <w:color w:val="auto"/>
                <w:sz w:val="21"/>
                <w:szCs w:val="21"/>
                <w:lang w:val="en-US" w:eastAsia="zh-CN"/>
              </w:rPr>
              <w:t>3</w:t>
            </w:r>
          </w:p>
        </w:tc>
        <w:tc>
          <w:tcPr>
            <w:tcW w:w="10376" w:type="dxa"/>
          </w:tcPr>
          <w:p>
            <w:pPr>
              <w:ind w:firstLine="400" w:firstLineChars="200"/>
              <w:rPr>
                <w:rFonts w:hint="default"/>
                <w:color w:val="auto"/>
                <w:sz w:val="20"/>
                <w:szCs w:val="22"/>
                <w:lang w:val="en-US" w:eastAsia="zh-CN"/>
              </w:rPr>
            </w:pPr>
            <w:r>
              <w:rPr>
                <w:rFonts w:hint="eastAsia"/>
                <w:color w:val="auto"/>
                <w:sz w:val="20"/>
                <w:szCs w:val="22"/>
                <w:lang w:val="en-US" w:eastAsia="zh-CN"/>
              </w:rPr>
              <w:t>公司能源管理体系的边界和范围：二阶段已确认下审核范围。</w:t>
            </w:r>
          </w:p>
          <w:p>
            <w:pPr>
              <w:ind w:firstLine="420" w:firstLineChars="200"/>
              <w:rPr>
                <w:rFonts w:hint="eastAsia"/>
                <w:color w:val="auto"/>
                <w:sz w:val="20"/>
                <w:szCs w:val="22"/>
                <w:lang w:val="en-US" w:eastAsia="zh-CN"/>
              </w:rPr>
            </w:pPr>
            <w:r>
              <w:rPr>
                <w:rFonts w:hint="eastAsia"/>
                <w:color w:val="auto"/>
                <w:sz w:val="21"/>
                <w:szCs w:val="21"/>
              </w:rPr>
              <w:t>位于浙江省嘉兴市南湖区景宜路185号紫竹名苑住宅小区物业管理服务（保洁、绿化、保安、设备维护与修缮管理、客户服务）所涉及的能源管理活动</w:t>
            </w:r>
            <w:r>
              <w:rPr>
                <w:rFonts w:hint="eastAsia"/>
                <w:color w:val="auto"/>
                <w:sz w:val="20"/>
                <w:szCs w:val="22"/>
                <w:lang w:val="en-US" w:eastAsia="zh-CN"/>
              </w:rPr>
              <w:t>。</w:t>
            </w:r>
          </w:p>
          <w:p>
            <w:pPr>
              <w:ind w:firstLine="400" w:firstLineChars="200"/>
              <w:rPr>
                <w:rFonts w:hint="eastAsia"/>
                <w:color w:val="auto"/>
                <w:sz w:val="20"/>
                <w:szCs w:val="22"/>
                <w:lang w:val="en-US" w:eastAsia="zh-CN"/>
              </w:rPr>
            </w:pPr>
            <w:r>
              <w:rPr>
                <w:rFonts w:hint="eastAsia"/>
                <w:color w:val="auto"/>
                <w:sz w:val="20"/>
                <w:szCs w:val="22"/>
                <w:lang w:val="en-US" w:eastAsia="zh-CN"/>
              </w:rPr>
              <w:t>核算边界：位于</w:t>
            </w:r>
            <w:r>
              <w:rPr>
                <w:rFonts w:hint="eastAsia" w:asciiTheme="minorEastAsia" w:hAnsiTheme="minorEastAsia" w:eastAsiaTheme="minorEastAsia"/>
                <w:color w:val="auto"/>
                <w:sz w:val="20"/>
              </w:rPr>
              <w:t>浙江省嘉兴市南湖区解放街道城东路711号（原嘉兴市农业机械化技术培训学校内及沿街4间店铺）</w:t>
            </w:r>
            <w:r>
              <w:rPr>
                <w:rFonts w:hint="eastAsia" w:asciiTheme="minorEastAsia" w:hAnsiTheme="minorEastAsia" w:eastAsiaTheme="minorEastAsia"/>
                <w:color w:val="auto"/>
                <w:sz w:val="20"/>
                <w:lang w:eastAsia="zh-CN"/>
              </w:rPr>
              <w:t>（</w:t>
            </w:r>
            <w:r>
              <w:rPr>
                <w:rFonts w:hint="eastAsia" w:asciiTheme="minorEastAsia" w:hAnsiTheme="minorEastAsia" w:eastAsiaTheme="minorEastAsia"/>
                <w:color w:val="auto"/>
                <w:sz w:val="20"/>
                <w:lang w:val="en-US" w:eastAsia="zh-CN"/>
              </w:rPr>
              <w:t>含一个多场所</w:t>
            </w:r>
            <w:r>
              <w:rPr>
                <w:rFonts w:hint="eastAsia" w:asciiTheme="minorEastAsia" w:hAnsiTheme="minorEastAsia" w:eastAsiaTheme="minorEastAsia"/>
                <w:color w:val="auto"/>
                <w:sz w:val="20"/>
                <w:lang w:eastAsia="zh-CN"/>
              </w:rPr>
              <w:t>）</w:t>
            </w:r>
            <w:r>
              <w:rPr>
                <w:rFonts w:hint="eastAsia"/>
                <w:color w:val="auto"/>
                <w:sz w:val="20"/>
                <w:szCs w:val="22"/>
                <w:lang w:val="en-US" w:eastAsia="zh-CN"/>
              </w:rPr>
              <w:t>位于浙江省嘉兴市南湖区景宜路185号紫竹名苑住宅小区物业管理服务（保洁、绿化、保安、设备维护与修缮管理、客户服务）所涉及的能源管理活动；该活动涵盖了能源购入、转换、输送、使用所涉及的生产系统、辅助生产系统和附属生产系统活动全过程。</w:t>
            </w:r>
          </w:p>
          <w:p>
            <w:pPr>
              <w:ind w:firstLine="400" w:firstLineChars="200"/>
              <w:rPr>
                <w:rFonts w:hint="default"/>
                <w:color w:val="auto"/>
                <w:lang w:val="en-US" w:eastAsia="zh-CN"/>
              </w:rPr>
            </w:pPr>
            <w:r>
              <w:rPr>
                <w:rFonts w:hint="eastAsia"/>
                <w:color w:val="auto"/>
                <w:sz w:val="20"/>
                <w:szCs w:val="22"/>
                <w:lang w:val="en-US" w:eastAsia="zh-CN"/>
              </w:rPr>
              <w:t>公司有一多场所（浙江省嘉兴市南湖区景宜路185号紫竹名苑住宅小区），没有临时场所。</w:t>
            </w: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160" w:type="dxa"/>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能源管理体系的建立与策划</w:t>
            </w:r>
          </w:p>
        </w:tc>
        <w:tc>
          <w:tcPr>
            <w:tcW w:w="960" w:type="dxa"/>
          </w:tcPr>
          <w:p>
            <w:pPr>
              <w:rPr>
                <w:rFonts w:hint="default" w:ascii="宋体" w:hAnsi="宋体" w:cs="Times New Roman"/>
                <w:color w:val="auto"/>
                <w:sz w:val="21"/>
                <w:szCs w:val="21"/>
                <w:lang w:val="en-US" w:eastAsia="zh-CN"/>
              </w:rPr>
            </w:pPr>
            <w:r>
              <w:rPr>
                <w:rFonts w:hint="eastAsia" w:ascii="宋体" w:hAnsi="宋体" w:cs="Times New Roman"/>
                <w:color w:val="auto"/>
                <w:sz w:val="21"/>
                <w:szCs w:val="21"/>
                <w:lang w:val="en-US" w:eastAsia="zh-CN"/>
              </w:rPr>
              <w:t>4.4</w:t>
            </w:r>
          </w:p>
        </w:tc>
        <w:tc>
          <w:tcPr>
            <w:tcW w:w="10376" w:type="dxa"/>
          </w:tcPr>
          <w:p>
            <w:pPr>
              <w:ind w:firstLine="400" w:firstLineChars="200"/>
              <w:rPr>
                <w:rFonts w:hint="eastAsia"/>
                <w:color w:val="auto"/>
                <w:sz w:val="20"/>
                <w:lang w:val="en-US" w:eastAsia="zh-CN"/>
              </w:rPr>
            </w:pPr>
            <w:r>
              <w:rPr>
                <w:rFonts w:hint="eastAsia"/>
                <w:color w:val="auto"/>
                <w:sz w:val="20"/>
                <w:lang w:val="en-US" w:eastAsia="zh-CN"/>
              </w:rPr>
              <w:t>公司总经理重视节能降耗工作，为了系统高效地开展节约能源工作，使公司原有的节能管理更加系统化、规范化、标准化，公司根据GB/T 23331-2020 idt ISO 50001:2018、</w:t>
            </w:r>
            <w:r>
              <w:rPr>
                <w:rFonts w:hint="eastAsia" w:ascii="宋体" w:hAnsi="宋体"/>
                <w:b/>
                <w:color w:val="auto"/>
                <w:sz w:val="21"/>
                <w:szCs w:val="21"/>
                <w:lang w:val="de-DE"/>
              </w:rPr>
              <w:t>RB/T</w:t>
            </w:r>
            <w:r>
              <w:rPr>
                <w:rFonts w:hint="eastAsia" w:ascii="宋体" w:hAnsi="宋体"/>
                <w:color w:val="auto"/>
                <w:sz w:val="21"/>
                <w:szCs w:val="21"/>
              </w:rPr>
              <w:t xml:space="preserve"> </w:t>
            </w:r>
            <w:r>
              <w:rPr>
                <w:rFonts w:hint="eastAsia" w:ascii="宋体" w:hAnsi="宋体"/>
                <w:b/>
                <w:color w:val="auto"/>
                <w:sz w:val="21"/>
                <w:szCs w:val="21"/>
              </w:rPr>
              <w:t>10</w:t>
            </w:r>
            <w:r>
              <w:rPr>
                <w:rFonts w:hint="eastAsia" w:ascii="宋体" w:hAnsi="宋体"/>
                <w:b/>
                <w:color w:val="auto"/>
                <w:sz w:val="21"/>
                <w:szCs w:val="21"/>
                <w:lang w:val="en-US" w:eastAsia="zh-CN"/>
              </w:rPr>
              <w:t>7</w:t>
            </w:r>
            <w:r>
              <w:rPr>
                <w:rFonts w:hint="eastAsia" w:ascii="宋体" w:hAnsi="宋体"/>
                <w:b/>
                <w:color w:val="auto"/>
                <w:sz w:val="21"/>
                <w:szCs w:val="21"/>
              </w:rPr>
              <w:t xml:space="preserve">-2013 </w:t>
            </w:r>
            <w:r>
              <w:rPr>
                <w:rFonts w:hint="eastAsia"/>
                <w:color w:val="auto"/>
                <w:sz w:val="20"/>
                <w:lang w:val="en-US" w:eastAsia="zh-CN"/>
              </w:rPr>
              <w:t>标准及国家相关法律法规，充分结合本公司能源管理的实际情况，建立能源管理体系，并编写“能源管理手册”及相应的能源控制文件，通过全面系统的策划、实施、检查和改进，对能源管理的全过程进行系统的科学监控，有效控制能源消耗并最终实现提高能源利用效率、降低能源消耗的目的。能源管理体系自2022年1月10日正式实施运行以来，至今已取得较好的能源绩效。</w:t>
            </w: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trPr>
        <w:tc>
          <w:tcPr>
            <w:tcW w:w="2160" w:type="dxa"/>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领导作用和承诺</w:t>
            </w:r>
          </w:p>
        </w:tc>
        <w:tc>
          <w:tcPr>
            <w:tcW w:w="960" w:type="dxa"/>
          </w:tcPr>
          <w:p>
            <w:pPr>
              <w:rPr>
                <w:rFonts w:hint="eastAsia" w:ascii="宋体" w:hAnsi="宋体" w:cs="Times New Roman"/>
                <w:color w:val="auto"/>
                <w:sz w:val="21"/>
                <w:szCs w:val="21"/>
                <w:lang w:val="en-US" w:eastAsia="zh-CN"/>
              </w:rPr>
            </w:pPr>
            <w:r>
              <w:rPr>
                <w:rFonts w:hint="eastAsia" w:ascii="宋体" w:hAnsi="宋体" w:eastAsia="宋体" w:cs="Times New Roman"/>
                <w:color w:val="auto"/>
                <w:sz w:val="21"/>
                <w:szCs w:val="21"/>
                <w:lang w:val="en-US" w:eastAsia="zh-CN"/>
              </w:rPr>
              <w:t xml:space="preserve">5.1 </w:t>
            </w:r>
          </w:p>
        </w:tc>
        <w:tc>
          <w:tcPr>
            <w:tcW w:w="10376" w:type="dxa"/>
          </w:tcPr>
          <w:p>
            <w:pPr>
              <w:ind w:firstLine="420" w:firstLineChars="200"/>
              <w:rPr>
                <w:rFonts w:hint="eastAsia"/>
                <w:color w:val="auto"/>
                <w:sz w:val="20"/>
                <w:lang w:val="en-US" w:eastAsia="zh-CN"/>
              </w:rPr>
            </w:pPr>
            <w:r>
              <w:rPr>
                <w:rFonts w:hint="eastAsia" w:asciiTheme="minorEastAsia" w:hAnsiTheme="minorEastAsia" w:eastAsiaTheme="minorEastAsia"/>
                <w:color w:val="auto"/>
                <w:szCs w:val="21"/>
              </w:rPr>
              <w:t>公司手册中明确了公司领导层的承诺和要求，包括：体系的理念融入到公司管理工作的各个环节中并得到运用，通过以下活动，对其建立、实施和改进能源管理体系并持续改进其有效性的承诺提供证据：在企业内部传达满足法律法规要求的重要性；制定能源方针；确保能源目标的制定；确保组建能源管理团队；确保能源绩效参数恰当反映能源绩效；进行管理评审；确保能源管理体系所需资源的配置和获得等</w:t>
            </w:r>
            <w:r>
              <w:rPr>
                <w:rFonts w:asciiTheme="minorEastAsia" w:hAnsiTheme="minorEastAsia" w:eastAsiaTheme="minorEastAsia"/>
                <w:color w:val="auto"/>
                <w:szCs w:val="21"/>
              </w:rPr>
              <w:t>。</w:t>
            </w: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160" w:type="dxa"/>
          </w:tcPr>
          <w:p>
            <w:pPr>
              <w:rPr>
                <w:rFonts w:hint="eastAsia"/>
                <w:color w:val="auto"/>
                <w:lang w:val="en-US" w:eastAsia="zh-CN"/>
              </w:rPr>
            </w:pPr>
            <w:r>
              <w:rPr>
                <w:rFonts w:hint="eastAsia"/>
                <w:color w:val="auto"/>
                <w:lang w:val="en-US" w:eastAsia="zh-CN"/>
              </w:rPr>
              <w:t>能源方针</w:t>
            </w:r>
          </w:p>
          <w:p>
            <w:pPr>
              <w:pStyle w:val="2"/>
              <w:rPr>
                <w:rFonts w:hint="default"/>
                <w:color w:val="auto"/>
                <w:lang w:val="en-US" w:eastAsia="zh-CN"/>
              </w:rPr>
            </w:pPr>
            <w:r>
              <w:rPr>
                <w:rFonts w:hint="eastAsia" w:ascii="宋体" w:hAnsi="宋体" w:cs="Times New Roman"/>
                <w:color w:val="auto"/>
                <w:sz w:val="21"/>
                <w:szCs w:val="21"/>
                <w:lang w:val="en-US" w:eastAsia="zh-CN"/>
              </w:rPr>
              <w:t>目标指标</w:t>
            </w:r>
          </w:p>
        </w:tc>
        <w:tc>
          <w:tcPr>
            <w:tcW w:w="960" w:type="dxa"/>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 xml:space="preserve">5.2 </w:t>
            </w:r>
          </w:p>
          <w:p>
            <w:pPr>
              <w:rPr>
                <w:rFonts w:hint="default"/>
                <w:color w:val="auto"/>
                <w:lang w:val="en-US" w:eastAsia="zh-CN"/>
              </w:rPr>
            </w:pPr>
            <w:r>
              <w:rPr>
                <w:rFonts w:hint="eastAsia" w:ascii="宋体" w:hAnsi="宋体" w:eastAsia="宋体" w:cs="Times New Roman"/>
                <w:color w:val="auto"/>
                <w:sz w:val="21"/>
                <w:szCs w:val="21"/>
                <w:lang w:val="en-US" w:eastAsia="zh-CN"/>
              </w:rPr>
              <w:t>6.2</w:t>
            </w:r>
          </w:p>
        </w:tc>
        <w:tc>
          <w:tcPr>
            <w:tcW w:w="10376" w:type="dxa"/>
          </w:tcPr>
          <w:p>
            <w:pPr>
              <w:ind w:firstLine="420" w:firstLineChars="200"/>
              <w:rPr>
                <w:rFonts w:hint="default"/>
                <w:color w:val="auto"/>
                <w:lang w:val="en-US" w:eastAsia="zh-CN"/>
              </w:rPr>
            </w:pPr>
            <w:r>
              <w:rPr>
                <w:rFonts w:hint="eastAsia"/>
                <w:color w:val="auto"/>
                <w:lang w:val="en-US" w:eastAsia="zh-CN"/>
              </w:rPr>
              <w:t>提供《JXNHBA/QP-03</w:t>
            </w:r>
            <w:r>
              <w:rPr>
                <w:rFonts w:hint="eastAsia"/>
                <w:color w:val="auto"/>
                <w:lang w:val="en-US" w:eastAsia="zh-CN"/>
              </w:rPr>
              <w:tab/>
            </w:r>
            <w:r>
              <w:rPr>
                <w:rFonts w:hint="eastAsia"/>
                <w:color w:val="auto"/>
                <w:lang w:val="en-US" w:eastAsia="zh-CN"/>
              </w:rPr>
              <w:t>目标、指标的制定控制程序》，有编审批，符合标准要求。</w:t>
            </w:r>
          </w:p>
          <w:p>
            <w:pPr>
              <w:ind w:firstLine="420" w:firstLineChars="200"/>
              <w:rPr>
                <w:rFonts w:hint="eastAsia"/>
                <w:color w:val="auto"/>
                <w:lang w:val="en-US" w:eastAsia="zh-CN"/>
              </w:rPr>
            </w:pPr>
            <w:r>
              <w:rPr>
                <w:rFonts w:hint="eastAsia"/>
                <w:color w:val="auto"/>
                <w:lang w:val="en-US" w:eastAsia="zh-CN"/>
              </w:rPr>
              <w:t>能源方针：</w:t>
            </w:r>
          </w:p>
          <w:p>
            <w:pPr>
              <w:ind w:firstLine="420" w:firstLineChars="200"/>
              <w:rPr>
                <w:rFonts w:hint="eastAsia"/>
                <w:color w:val="auto"/>
                <w:lang w:val="en-US" w:eastAsia="zh-CN"/>
              </w:rPr>
            </w:pPr>
            <w:r>
              <w:rPr>
                <w:rFonts w:hint="eastAsia"/>
                <w:color w:val="auto"/>
                <w:lang w:val="en-US" w:eastAsia="zh-CN"/>
              </w:rPr>
              <w:t>节约资源、降低能耗、和谐发展、绿色物业。</w:t>
            </w:r>
          </w:p>
          <w:p>
            <w:pPr>
              <w:ind w:firstLine="420" w:firstLineChars="200"/>
              <w:rPr>
                <w:rFonts w:hint="eastAsia" w:eastAsia="宋体"/>
                <w:color w:val="auto"/>
                <w:lang w:val="en-US" w:eastAsia="zh-CN"/>
              </w:rPr>
            </w:pPr>
            <w:r>
              <w:rPr>
                <w:rFonts w:hint="eastAsia" w:eastAsia="宋体"/>
                <w:color w:val="auto"/>
                <w:lang w:val="en-US" w:eastAsia="zh-CN"/>
              </w:rPr>
              <w:t>能源方针内容基本符合标准要求和企业实际。能源方针由总经理批准发布，以书面、电子媒介、宣传栏等方式，便于员工、顾客及其他相关方所获取，并且予以评审。</w:t>
            </w:r>
          </w:p>
          <w:p>
            <w:pPr>
              <w:pStyle w:val="2"/>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eastAsia"/>
                <w:color w:val="auto"/>
                <w:lang w:val="en-US" w:eastAsia="zh-CN"/>
              </w:rPr>
            </w:pPr>
            <w:r>
              <w:drawing>
                <wp:inline distT="0" distB="0" distL="114300" distR="114300">
                  <wp:extent cx="5613400" cy="1301750"/>
                  <wp:effectExtent l="0" t="0" r="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613400" cy="130175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0" w:after="0"/>
              <w:ind w:firstLine="420" w:firstLineChars="200"/>
              <w:jc w:val="both"/>
              <w:textAlignment w:val="auto"/>
              <w:rPr>
                <w:rFonts w:hint="default"/>
                <w:color w:val="auto"/>
                <w:lang w:val="en-US" w:eastAsia="zh-CN"/>
              </w:rPr>
            </w:pPr>
            <w:r>
              <w:rPr>
                <w:rFonts w:hint="eastAsia" w:ascii="Times New Roman" w:hAnsi="Times New Roman" w:eastAsia="宋体" w:cs="Times New Roman"/>
                <w:bCs w:val="0"/>
                <w:color w:val="auto"/>
                <w:spacing w:val="0"/>
                <w:kern w:val="2"/>
                <w:sz w:val="21"/>
                <w:lang w:val="en-US" w:eastAsia="zh-CN" w:bidi="ar-SA"/>
              </w:rPr>
              <w:t>已经</w:t>
            </w:r>
            <w:r>
              <w:rPr>
                <w:rFonts w:hint="eastAsia" w:cs="Times New Roman"/>
                <w:bCs w:val="0"/>
                <w:color w:val="auto"/>
                <w:spacing w:val="0"/>
                <w:kern w:val="2"/>
                <w:sz w:val="21"/>
                <w:lang w:val="en-US" w:eastAsia="zh-CN" w:bidi="ar-SA"/>
              </w:rPr>
              <w:t>将</w:t>
            </w:r>
            <w:r>
              <w:rPr>
                <w:rFonts w:hint="eastAsia" w:ascii="Times New Roman" w:hAnsi="Times New Roman" w:eastAsia="宋体" w:cs="Times New Roman"/>
                <w:bCs w:val="0"/>
                <w:color w:val="auto"/>
                <w:spacing w:val="0"/>
                <w:kern w:val="2"/>
                <w:sz w:val="21"/>
                <w:lang w:val="en-US" w:eastAsia="zh-CN" w:bidi="ar-SA"/>
              </w:rPr>
              <w:t>公司的目标指标分解到各部门</w:t>
            </w:r>
            <w:r>
              <w:rPr>
                <w:rFonts w:hint="eastAsia" w:eastAsia="宋体" w:cs="Times New Roman"/>
                <w:bCs w:val="0"/>
                <w:color w:val="auto"/>
                <w:spacing w:val="0"/>
                <w:kern w:val="2"/>
                <w:sz w:val="21"/>
                <w:lang w:val="en-US" w:eastAsia="zh-CN" w:bidi="ar-SA"/>
              </w:rPr>
              <w:t>。</w:t>
            </w:r>
            <w:r>
              <w:rPr>
                <w:rFonts w:hint="eastAsia" w:ascii="Times New Roman" w:hAnsi="Times New Roman" w:eastAsia="宋体" w:cs="Times New Roman"/>
                <w:bCs w:val="0"/>
                <w:color w:val="auto"/>
                <w:spacing w:val="0"/>
                <w:kern w:val="2"/>
                <w:sz w:val="21"/>
                <w:lang w:val="en-US" w:eastAsia="zh-CN" w:bidi="ar-SA"/>
              </w:rPr>
              <w:t xml:space="preserve"> </w:t>
            </w: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160" w:type="dxa"/>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组织的岗位、职责和权限</w:t>
            </w:r>
          </w:p>
        </w:tc>
        <w:tc>
          <w:tcPr>
            <w:tcW w:w="960" w:type="dxa"/>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 xml:space="preserve">5.3 </w:t>
            </w:r>
          </w:p>
        </w:tc>
        <w:tc>
          <w:tcPr>
            <w:tcW w:w="10376" w:type="dxa"/>
          </w:tcPr>
          <w:p>
            <w:pPr>
              <w:numPr>
                <w:ilvl w:val="0"/>
                <w:numId w:val="0"/>
              </w:numPr>
              <w:ind w:firstLine="400" w:firstLineChars="200"/>
              <w:rPr>
                <w:rFonts w:hint="eastAsia"/>
                <w:color w:val="auto"/>
                <w:sz w:val="20"/>
                <w:lang w:val="en-US" w:eastAsia="zh-CN"/>
              </w:rPr>
            </w:pPr>
            <w:r>
              <w:rPr>
                <w:rFonts w:hint="eastAsia"/>
                <w:color w:val="auto"/>
                <w:sz w:val="20"/>
                <w:lang w:val="en-US" w:eastAsia="zh-CN"/>
              </w:rPr>
              <w:t>公司规定总经理对管理体系的有效性负责，由总经理任命文庆为能源管理体系管理者代表，其职责和权限如下：</w:t>
            </w:r>
          </w:p>
          <w:p>
            <w:pPr>
              <w:numPr>
                <w:ilvl w:val="0"/>
                <w:numId w:val="0"/>
              </w:numPr>
              <w:ind w:firstLine="600" w:firstLineChars="300"/>
              <w:rPr>
                <w:rFonts w:hint="eastAsia"/>
                <w:color w:val="auto"/>
                <w:sz w:val="20"/>
                <w:lang w:val="en-US" w:eastAsia="zh-CN"/>
              </w:rPr>
            </w:pPr>
            <w:r>
              <w:rPr>
                <w:rFonts w:hint="eastAsia"/>
                <w:color w:val="auto"/>
                <w:sz w:val="20"/>
                <w:lang w:val="en-US" w:eastAsia="zh-CN"/>
              </w:rPr>
              <w:t>a) 确保管理体系符合本标准的要求；</w:t>
            </w:r>
          </w:p>
          <w:p>
            <w:pPr>
              <w:numPr>
                <w:ilvl w:val="0"/>
                <w:numId w:val="0"/>
              </w:numPr>
              <w:ind w:firstLine="600" w:firstLineChars="300"/>
              <w:rPr>
                <w:rFonts w:hint="eastAsia"/>
                <w:color w:val="auto"/>
                <w:sz w:val="20"/>
                <w:lang w:val="en-US" w:eastAsia="zh-CN"/>
              </w:rPr>
            </w:pPr>
            <w:r>
              <w:rPr>
                <w:rFonts w:hint="eastAsia"/>
                <w:color w:val="auto"/>
                <w:sz w:val="20"/>
                <w:lang w:val="en-US" w:eastAsia="zh-CN"/>
              </w:rPr>
              <w:t>b) 确保过程相互作用并产生期望的结果；</w:t>
            </w:r>
          </w:p>
          <w:p>
            <w:pPr>
              <w:numPr>
                <w:ilvl w:val="0"/>
                <w:numId w:val="0"/>
              </w:numPr>
              <w:ind w:firstLine="600" w:firstLineChars="300"/>
              <w:rPr>
                <w:rFonts w:hint="eastAsia"/>
                <w:color w:val="auto"/>
                <w:sz w:val="20"/>
                <w:lang w:val="en-US" w:eastAsia="zh-CN"/>
              </w:rPr>
            </w:pPr>
            <w:r>
              <w:rPr>
                <w:rFonts w:hint="eastAsia"/>
                <w:color w:val="auto"/>
                <w:sz w:val="20"/>
                <w:lang w:val="en-US" w:eastAsia="zh-CN"/>
              </w:rPr>
              <w:t>c) 向总经理报告管理体系的绩效和任何改进的需求；</w:t>
            </w:r>
          </w:p>
          <w:p>
            <w:pPr>
              <w:numPr>
                <w:ilvl w:val="0"/>
                <w:numId w:val="0"/>
              </w:numPr>
              <w:ind w:firstLine="600" w:firstLineChars="300"/>
              <w:rPr>
                <w:rFonts w:hint="eastAsia"/>
                <w:color w:val="auto"/>
                <w:sz w:val="20"/>
                <w:lang w:val="en-US" w:eastAsia="zh-CN"/>
              </w:rPr>
            </w:pPr>
            <w:r>
              <w:rPr>
                <w:rFonts w:hint="eastAsia"/>
                <w:color w:val="auto"/>
                <w:sz w:val="20"/>
                <w:lang w:val="en-US" w:eastAsia="zh-CN"/>
              </w:rPr>
              <w:t>d) 确保在整个组织内提高满足顾客要求的意识；</w:t>
            </w:r>
          </w:p>
          <w:p>
            <w:pPr>
              <w:numPr>
                <w:ilvl w:val="0"/>
                <w:numId w:val="0"/>
              </w:numPr>
              <w:ind w:firstLine="600" w:firstLineChars="300"/>
              <w:rPr>
                <w:rFonts w:hint="default"/>
                <w:color w:val="auto"/>
                <w:sz w:val="20"/>
                <w:lang w:val="en-US" w:eastAsia="zh-CN"/>
              </w:rPr>
            </w:pPr>
            <w:r>
              <w:rPr>
                <w:rFonts w:hint="eastAsia"/>
                <w:color w:val="auto"/>
                <w:sz w:val="20"/>
                <w:lang w:val="en-US" w:eastAsia="zh-CN"/>
              </w:rPr>
              <w:t xml:space="preserve">e )确保体系在任何情况下的完整性。。 </w:t>
            </w:r>
          </w:p>
          <w:p>
            <w:pPr>
              <w:ind w:firstLine="400" w:firstLineChars="200"/>
              <w:rPr>
                <w:rFonts w:hint="eastAsia"/>
                <w:color w:val="auto"/>
                <w:sz w:val="20"/>
                <w:szCs w:val="22"/>
                <w:lang w:val="en-US" w:eastAsia="zh-CN"/>
              </w:rPr>
            </w:pPr>
            <w:r>
              <w:rPr>
                <w:rFonts w:hint="eastAsia"/>
                <w:color w:val="auto"/>
                <w:sz w:val="20"/>
                <w:lang w:val="en-US" w:eastAsia="zh-CN"/>
              </w:rPr>
              <w:t>2、公司设有</w:t>
            </w:r>
            <w:r>
              <w:rPr>
                <w:rFonts w:hint="eastAsia"/>
                <w:color w:val="auto"/>
                <w:szCs w:val="21"/>
              </w:rPr>
              <w:t>管理层、安全部、办公室、品质部、财务部、市场部</w:t>
            </w:r>
            <w:r>
              <w:rPr>
                <w:rFonts w:hint="eastAsia"/>
                <w:color w:val="auto"/>
                <w:sz w:val="20"/>
                <w:szCs w:val="22"/>
                <w:lang w:val="en-US" w:eastAsia="zh-CN"/>
              </w:rPr>
              <w:t>等。</w:t>
            </w:r>
          </w:p>
          <w:p>
            <w:pPr>
              <w:ind w:firstLine="400" w:firstLineChars="200"/>
              <w:rPr>
                <w:rFonts w:hint="eastAsia"/>
                <w:color w:val="auto"/>
                <w:sz w:val="20"/>
                <w:lang w:val="en-US" w:eastAsia="zh-CN"/>
              </w:rPr>
            </w:pPr>
            <w:r>
              <w:rPr>
                <w:rFonts w:hint="eastAsia"/>
                <w:color w:val="auto"/>
                <w:sz w:val="20"/>
                <w:lang w:val="en-US" w:eastAsia="zh-CN"/>
              </w:rPr>
              <w:t>从管理层到各部门、各岗位能源职责权限均以文件化予以规定在《能源管理体系手册》予以规定，符合要求。</w:t>
            </w: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应对风险和机遇的措施</w:t>
            </w:r>
          </w:p>
        </w:tc>
        <w:tc>
          <w:tcPr>
            <w:tcW w:w="960" w:type="dxa"/>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6.1</w:t>
            </w:r>
          </w:p>
        </w:tc>
        <w:tc>
          <w:tcPr>
            <w:tcW w:w="10376" w:type="dxa"/>
          </w:tcPr>
          <w:p>
            <w:pPr>
              <w:ind w:firstLine="420" w:firstLineChars="200"/>
              <w:rPr>
                <w:rFonts w:hint="default" w:eastAsia="宋体"/>
                <w:color w:val="auto"/>
                <w:sz w:val="21"/>
                <w:szCs w:val="21"/>
                <w:lang w:val="en-US" w:eastAsia="zh-CN"/>
              </w:rPr>
            </w:pPr>
            <w:r>
              <w:rPr>
                <w:rFonts w:hint="eastAsia" w:eastAsia="宋体"/>
                <w:color w:val="auto"/>
                <w:sz w:val="21"/>
                <w:szCs w:val="21"/>
                <w:lang w:val="en-US" w:eastAsia="zh-CN"/>
              </w:rPr>
              <w:t>公司通过对目标和战略方向相关影响其实现能源管理体系预期结果的各种内外部环境因素的识别与评价，有效应对风险和机遇。</w:t>
            </w:r>
          </w:p>
          <w:p>
            <w:pPr>
              <w:ind w:firstLine="420" w:firstLineChars="200"/>
              <w:rPr>
                <w:rFonts w:hint="eastAsia"/>
                <w:color w:val="auto"/>
                <w:sz w:val="21"/>
                <w:szCs w:val="21"/>
                <w:lang w:val="en-US" w:eastAsia="zh-CN"/>
              </w:rPr>
            </w:pPr>
            <w:r>
              <w:rPr>
                <w:rFonts w:hint="eastAsia"/>
                <w:color w:val="auto"/>
                <w:sz w:val="21"/>
                <w:szCs w:val="21"/>
                <w:lang w:val="en-US" w:eastAsia="zh-CN"/>
              </w:rPr>
              <w:t>公司建立《风险与机遇的应对控制程序》，定期开展内外部经营环境和市场分析，根据风险和机遇识别、分析的结果，制定与产品及环境的符合性和顾客满意的潜在影响相适应的应对措施，并在管理体系运行过程进</w:t>
            </w:r>
          </w:p>
          <w:p>
            <w:pPr>
              <w:rPr>
                <w:rFonts w:hint="eastAsia"/>
                <w:color w:val="auto"/>
                <w:sz w:val="21"/>
                <w:szCs w:val="21"/>
                <w:lang w:val="en-US" w:eastAsia="zh-CN"/>
              </w:rPr>
            </w:pPr>
            <w:r>
              <w:rPr>
                <w:rFonts w:hint="eastAsia"/>
                <w:color w:val="auto"/>
                <w:sz w:val="21"/>
                <w:szCs w:val="21"/>
                <w:lang w:val="en-US" w:eastAsia="zh-CN"/>
              </w:rPr>
              <w:t>行运用，当风险和机遇发生后要评价这些措施的有效性。</w:t>
            </w:r>
          </w:p>
          <w:p>
            <w:pPr>
              <w:ind w:firstLine="420" w:firstLineChars="200"/>
              <w:rPr>
                <w:rFonts w:hint="default" w:eastAsia="宋体" w:cs="Times New Roman"/>
                <w:bCs w:val="0"/>
                <w:color w:val="auto"/>
                <w:spacing w:val="0"/>
                <w:kern w:val="2"/>
                <w:sz w:val="21"/>
                <w:szCs w:val="22"/>
                <w:lang w:val="en-US" w:eastAsia="zh-CN" w:bidi="ar-SA"/>
              </w:rPr>
            </w:pPr>
            <w:r>
              <w:rPr>
                <w:rFonts w:hint="eastAsia" w:cs="Times New Roman"/>
                <w:bCs w:val="0"/>
                <w:color w:val="auto"/>
                <w:spacing w:val="0"/>
                <w:kern w:val="2"/>
                <w:sz w:val="21"/>
                <w:szCs w:val="22"/>
                <w:lang w:val="en-US" w:eastAsia="zh-CN" w:bidi="ar-SA"/>
              </w:rPr>
              <w:t>提供《风险和机遇评估分析表》，编制人/日期：文庆， 审核人/日期：吴红玉，2022.1.10 ；按照：类型、风险及机遇的识别（类别、外部因素及相关方描述、风险和机遇）、风险及机遇的评估（发生可能性×严重性、等级）、风险及机遇应对措施等符合要求。共分析13项风险，高风险3项，其余为一般和低风险。符合公司实际情况和标准要求。</w:t>
            </w: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2160" w:type="dxa"/>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资源</w:t>
            </w:r>
          </w:p>
        </w:tc>
        <w:tc>
          <w:tcPr>
            <w:tcW w:w="960" w:type="dxa"/>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 xml:space="preserve">7.1 </w:t>
            </w:r>
          </w:p>
        </w:tc>
        <w:tc>
          <w:tcPr>
            <w:tcW w:w="10376" w:type="dxa"/>
          </w:tcPr>
          <w:p>
            <w:pPr>
              <w:widowControl/>
              <w:spacing w:after="0"/>
              <w:ind w:firstLine="400" w:firstLineChars="200"/>
              <w:jc w:val="left"/>
              <w:rPr>
                <w:color w:val="auto"/>
              </w:rPr>
            </w:pPr>
            <w:r>
              <w:rPr>
                <w:rFonts w:hint="eastAsia"/>
                <w:color w:val="auto"/>
                <w:sz w:val="20"/>
              </w:rPr>
              <w:t>公司</w:t>
            </w:r>
            <w:r>
              <w:rPr>
                <w:rFonts w:hint="eastAsia"/>
                <w:color w:val="auto"/>
                <w:szCs w:val="21"/>
              </w:rPr>
              <w:t>总人数</w:t>
            </w:r>
            <w:r>
              <w:rPr>
                <w:rFonts w:hint="eastAsia"/>
                <w:color w:val="auto"/>
                <w:szCs w:val="21"/>
                <w:lang w:val="en-US" w:eastAsia="zh-CN"/>
              </w:rPr>
              <w:t>1000</w:t>
            </w:r>
            <w:r>
              <w:rPr>
                <w:rFonts w:hint="eastAsia"/>
                <w:color w:val="auto"/>
                <w:szCs w:val="21"/>
              </w:rPr>
              <w:t>人，其中体系覆盖人数</w:t>
            </w:r>
            <w:r>
              <w:rPr>
                <w:rFonts w:hint="eastAsia"/>
                <w:color w:val="auto"/>
                <w:szCs w:val="21"/>
                <w:lang w:val="en-US" w:eastAsia="zh-CN"/>
              </w:rPr>
              <w:t>63</w:t>
            </w:r>
            <w:r>
              <w:rPr>
                <w:rFonts w:hint="eastAsia"/>
                <w:color w:val="auto"/>
                <w:szCs w:val="21"/>
              </w:rPr>
              <w:t>人</w:t>
            </w:r>
            <w:r>
              <w:rPr>
                <w:rFonts w:hint="eastAsia"/>
                <w:color w:val="auto"/>
                <w:szCs w:val="22"/>
              </w:rPr>
              <w:t xml:space="preserve">。管理人员：11人 </w:t>
            </w:r>
            <w:r>
              <w:rPr>
                <w:rFonts w:hint="eastAsia"/>
                <w:color w:val="auto"/>
                <w:szCs w:val="22"/>
                <w:lang w:val="en-US" w:eastAsia="zh-CN"/>
              </w:rPr>
              <w:t>其他</w:t>
            </w:r>
            <w:r>
              <w:rPr>
                <w:rFonts w:hint="eastAsia"/>
                <w:color w:val="auto"/>
                <w:szCs w:val="22"/>
              </w:rPr>
              <w:t>人员52，</w:t>
            </w:r>
            <w:r>
              <w:rPr>
                <w:rFonts w:hint="eastAsia"/>
                <w:color w:val="auto"/>
                <w:szCs w:val="22"/>
                <w:lang w:val="en-US" w:eastAsia="zh-CN"/>
              </w:rPr>
              <w:t>大专以上人员12人，</w:t>
            </w:r>
            <w:r>
              <w:rPr>
                <w:rFonts w:hint="eastAsia"/>
                <w:color w:val="auto"/>
                <w:szCs w:val="22"/>
              </w:rPr>
              <w:t>保安18（门卫、巡逻）</w:t>
            </w:r>
            <w:r>
              <w:rPr>
                <w:rFonts w:hint="eastAsia"/>
                <w:color w:val="auto"/>
                <w:szCs w:val="22"/>
                <w:lang w:eastAsia="zh-CN"/>
              </w:rPr>
              <w:t>，</w:t>
            </w:r>
            <w:r>
              <w:rPr>
                <w:rFonts w:hint="eastAsia"/>
                <w:color w:val="auto"/>
                <w:szCs w:val="22"/>
                <w:lang w:val="en-US" w:eastAsia="zh-CN"/>
              </w:rPr>
              <w:t>保洁34</w:t>
            </w:r>
            <w:r>
              <w:rPr>
                <w:rFonts w:hint="eastAsia"/>
                <w:color w:val="auto"/>
                <w:szCs w:val="22"/>
                <w:lang w:eastAsia="zh-CN"/>
              </w:rPr>
              <w:t>（</w:t>
            </w:r>
            <w:r>
              <w:rPr>
                <w:rFonts w:hint="eastAsia"/>
                <w:color w:val="auto"/>
                <w:szCs w:val="22"/>
              </w:rPr>
              <w:t>保洁，小区清扫、花木护理</w:t>
            </w:r>
            <w:r>
              <w:rPr>
                <w:rFonts w:hint="eastAsia"/>
                <w:color w:val="auto"/>
                <w:szCs w:val="22"/>
                <w:lang w:eastAsia="zh-CN"/>
              </w:rPr>
              <w:t>），</w:t>
            </w:r>
            <w:r>
              <w:rPr>
                <w:rFonts w:hint="eastAsia"/>
                <w:color w:val="auto"/>
                <w:szCs w:val="21"/>
                <w:lang w:val="en-US" w:eastAsia="zh-CN"/>
              </w:rPr>
              <w:t>二班倒班18人</w:t>
            </w:r>
            <w:r>
              <w:rPr>
                <w:rFonts w:hint="eastAsia"/>
                <w:color w:val="auto"/>
                <w:szCs w:val="21"/>
              </w:rPr>
              <w:t>；劳务派遣人员0 人；临时工0 人；其中承包商员工数0人；季节工 0 人。</w:t>
            </w:r>
            <w:r>
              <w:rPr>
                <w:rFonts w:hint="eastAsia"/>
                <w:color w:val="auto"/>
                <w:lang w:val="en-US" w:eastAsia="zh-CN"/>
              </w:rPr>
              <w:t>物业管理服务面积：101784.69平，2021年、2022年办公管理面积分别为1120.49平米、1985平方米。</w:t>
            </w:r>
            <w:r>
              <w:rPr>
                <w:rFonts w:hint="eastAsia"/>
                <w:color w:val="auto"/>
                <w:szCs w:val="21"/>
                <w:lang w:val="en-US" w:eastAsia="zh-CN"/>
              </w:rPr>
              <w:t>注册资金1000万人民币，固定资产499万人民币</w:t>
            </w:r>
            <w:r>
              <w:rPr>
                <w:rFonts w:hint="eastAsia"/>
                <w:color w:val="auto"/>
                <w:sz w:val="20"/>
                <w:szCs w:val="22"/>
              </w:rPr>
              <w:t>。</w:t>
            </w:r>
          </w:p>
          <w:p>
            <w:pPr>
              <w:widowControl/>
              <w:spacing w:after="0"/>
              <w:ind w:firstLine="400" w:firstLineChars="200"/>
              <w:jc w:val="left"/>
              <w:rPr>
                <w:rFonts w:hint="eastAsia" w:eastAsia="宋体"/>
                <w:color w:val="auto"/>
                <w:sz w:val="20"/>
                <w:szCs w:val="22"/>
                <w:lang w:eastAsia="zh-CN"/>
              </w:rPr>
            </w:pPr>
            <w:r>
              <w:rPr>
                <w:rFonts w:hint="eastAsia"/>
                <w:color w:val="auto"/>
                <w:sz w:val="20"/>
                <w:szCs w:val="22"/>
              </w:rPr>
              <w:t>企业主要消耗能源种类为电力</w:t>
            </w:r>
            <w:r>
              <w:rPr>
                <w:rFonts w:hint="eastAsia"/>
                <w:color w:val="auto"/>
                <w:sz w:val="20"/>
                <w:szCs w:val="22"/>
                <w:lang w:eastAsia="zh-CN"/>
              </w:rPr>
              <w:t>、</w:t>
            </w:r>
            <w:r>
              <w:rPr>
                <w:rFonts w:hint="eastAsia"/>
                <w:color w:val="auto"/>
                <w:sz w:val="20"/>
                <w:szCs w:val="22"/>
                <w:lang w:val="en-US" w:eastAsia="zh-CN"/>
              </w:rPr>
              <w:t>水</w:t>
            </w:r>
            <w:r>
              <w:rPr>
                <w:rFonts w:hint="eastAsia"/>
                <w:color w:val="auto"/>
                <w:sz w:val="20"/>
                <w:szCs w:val="22"/>
                <w:lang w:eastAsia="zh-CN"/>
              </w:rPr>
              <w:t>；</w:t>
            </w:r>
            <w:r>
              <w:rPr>
                <w:rFonts w:hint="eastAsia"/>
                <w:color w:val="auto"/>
                <w:sz w:val="20"/>
                <w:szCs w:val="22"/>
                <w:lang w:val="en-US" w:eastAsia="zh-CN"/>
              </w:rPr>
              <w:t>能源计量器具</w:t>
            </w:r>
            <w:r>
              <w:rPr>
                <w:rFonts w:hint="eastAsia"/>
                <w:color w:val="auto"/>
                <w:sz w:val="20"/>
                <w:szCs w:val="22"/>
                <w:lang w:eastAsia="zh-CN"/>
              </w:rPr>
              <w:t>，</w:t>
            </w:r>
            <w:r>
              <w:rPr>
                <w:rFonts w:hint="eastAsia"/>
                <w:color w:val="auto"/>
                <w:sz w:val="20"/>
                <w:szCs w:val="22"/>
                <w:lang w:val="en-US" w:eastAsia="zh-CN"/>
              </w:rPr>
              <w:t>有电表一块、水表一块；生产设备2台套（监控系统、办公用电系统）</w:t>
            </w:r>
            <w:r>
              <w:rPr>
                <w:rFonts w:hint="eastAsia"/>
                <w:color w:val="auto"/>
                <w:sz w:val="20"/>
                <w:szCs w:val="22"/>
                <w:lang w:eastAsia="zh-CN"/>
              </w:rPr>
              <w:t>。</w:t>
            </w:r>
          </w:p>
          <w:p>
            <w:pPr>
              <w:widowControl/>
              <w:spacing w:after="0"/>
              <w:ind w:firstLine="420" w:firstLineChars="200"/>
              <w:jc w:val="left"/>
              <w:rPr>
                <w:color w:val="auto"/>
              </w:rPr>
            </w:pPr>
            <w:r>
              <w:rPr>
                <w:rFonts w:hint="eastAsia"/>
                <w:color w:val="auto"/>
                <w:szCs w:val="21"/>
              </w:rPr>
              <w:t>公司的组织机构：管理层、安全部、办公室、品质部、财务部、市场部</w:t>
            </w:r>
            <w:r>
              <w:rPr>
                <w:rFonts w:hint="eastAsia"/>
                <w:color w:val="auto"/>
                <w:sz w:val="20"/>
                <w:szCs w:val="22"/>
              </w:rPr>
              <w:t>。</w:t>
            </w:r>
          </w:p>
          <w:p>
            <w:pPr>
              <w:ind w:firstLine="400" w:firstLineChars="200"/>
              <w:rPr>
                <w:rFonts w:hint="eastAsia"/>
                <w:color w:val="auto"/>
                <w:sz w:val="20"/>
                <w:lang w:val="en-US" w:eastAsia="zh-CN"/>
              </w:rPr>
            </w:pPr>
            <w:r>
              <w:rPr>
                <w:rFonts w:hint="eastAsia" w:eastAsia="宋体"/>
                <w:color w:val="auto"/>
                <w:sz w:val="20"/>
                <w:szCs w:val="22"/>
                <w:lang w:val="en-US" w:eastAsia="zh-CN"/>
              </w:rPr>
              <w:t>资源配置能够满足建立、实施、保持和持续改进能源绩效和能源管理体系的有效运行。</w:t>
            </w: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2160" w:type="dxa"/>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管理评审</w:t>
            </w:r>
          </w:p>
        </w:tc>
        <w:tc>
          <w:tcPr>
            <w:tcW w:w="960" w:type="dxa"/>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 xml:space="preserve">9.3 </w:t>
            </w:r>
          </w:p>
        </w:tc>
        <w:tc>
          <w:tcPr>
            <w:tcW w:w="10376" w:type="dxa"/>
          </w:tcPr>
          <w:p>
            <w:pPr>
              <w:ind w:firstLine="420" w:firstLineChars="200"/>
              <w:rPr>
                <w:rFonts w:hint="default"/>
                <w:color w:val="auto"/>
                <w:sz w:val="21"/>
                <w:szCs w:val="21"/>
                <w:lang w:val="en-US" w:eastAsia="zh-CN"/>
              </w:rPr>
            </w:pPr>
            <w:r>
              <w:rPr>
                <w:rFonts w:hint="eastAsia"/>
                <w:color w:val="auto"/>
                <w:sz w:val="21"/>
                <w:szCs w:val="21"/>
                <w:lang w:val="en-US" w:eastAsia="zh-CN"/>
              </w:rPr>
              <w:t>提供程序文件《JXNHBA/QP-21</w:t>
            </w:r>
            <w:r>
              <w:rPr>
                <w:rFonts w:hint="eastAsia"/>
                <w:color w:val="auto"/>
                <w:sz w:val="21"/>
                <w:szCs w:val="21"/>
                <w:lang w:val="en-US" w:eastAsia="zh-CN"/>
              </w:rPr>
              <w:tab/>
            </w:r>
            <w:r>
              <w:rPr>
                <w:rFonts w:hint="eastAsia"/>
                <w:color w:val="auto"/>
                <w:sz w:val="21"/>
                <w:szCs w:val="21"/>
                <w:lang w:val="en-US" w:eastAsia="zh-CN"/>
              </w:rPr>
              <w:t>管理评审程序》，有编审批，符合标准要求。</w:t>
            </w:r>
          </w:p>
          <w:p>
            <w:pPr>
              <w:ind w:firstLine="420" w:firstLineChars="200"/>
              <w:rPr>
                <w:rFonts w:hint="eastAsia"/>
                <w:color w:val="auto"/>
                <w:sz w:val="21"/>
                <w:szCs w:val="21"/>
                <w:lang w:val="en-US" w:eastAsia="zh-CN"/>
              </w:rPr>
            </w:pPr>
            <w:r>
              <w:rPr>
                <w:rFonts w:hint="eastAsia"/>
                <w:color w:val="auto"/>
                <w:sz w:val="21"/>
                <w:szCs w:val="21"/>
                <w:lang w:val="en-US" w:eastAsia="zh-CN"/>
              </w:rPr>
              <w:t>1、公司自能源管理体系运行以来组织了一次管理评审，日期： 2022年7月25日。</w:t>
            </w:r>
          </w:p>
          <w:p>
            <w:pPr>
              <w:ind w:firstLine="420" w:firstLineChars="200"/>
              <w:rPr>
                <w:rFonts w:hint="eastAsia"/>
                <w:color w:val="auto"/>
                <w:sz w:val="21"/>
                <w:szCs w:val="21"/>
                <w:lang w:val="en-US" w:eastAsia="zh-CN"/>
              </w:rPr>
            </w:pPr>
            <w:r>
              <w:rPr>
                <w:rFonts w:hint="eastAsia"/>
                <w:color w:val="auto"/>
                <w:sz w:val="21"/>
                <w:szCs w:val="21"/>
                <w:lang w:val="en-US" w:eastAsia="zh-CN"/>
              </w:rPr>
              <w:t>采用会议形式，总经理：</w:t>
            </w:r>
            <w:r>
              <w:rPr>
                <w:rFonts w:hint="eastAsia"/>
                <w:color w:val="auto"/>
                <w:szCs w:val="21"/>
                <w:lang w:eastAsia="zh-CN"/>
              </w:rPr>
              <w:t>吴红玉</w:t>
            </w:r>
            <w:r>
              <w:rPr>
                <w:rFonts w:hint="eastAsia"/>
                <w:color w:val="auto"/>
                <w:sz w:val="21"/>
                <w:szCs w:val="21"/>
                <w:lang w:val="en-US" w:eastAsia="zh-CN"/>
              </w:rPr>
              <w:t>主持会议。</w:t>
            </w:r>
            <w:r>
              <w:rPr>
                <w:rFonts w:hint="eastAsia"/>
                <w:color w:val="auto"/>
                <w:szCs w:val="21"/>
              </w:rPr>
              <w:t>管理层、安全部、办公室、人事部、品质部、财务部、市场部</w:t>
            </w:r>
            <w:r>
              <w:rPr>
                <w:rFonts w:hint="eastAsia"/>
                <w:color w:val="auto"/>
                <w:szCs w:val="21"/>
                <w:lang w:val="en-US" w:eastAsia="zh-CN"/>
              </w:rPr>
              <w:t>负责人均参加</w:t>
            </w:r>
            <w:r>
              <w:rPr>
                <w:rFonts w:hint="eastAsia"/>
                <w:color w:val="auto"/>
                <w:sz w:val="21"/>
                <w:szCs w:val="21"/>
                <w:lang w:val="en-US" w:eastAsia="zh-CN"/>
              </w:rPr>
              <w:t>。</w:t>
            </w:r>
          </w:p>
          <w:p>
            <w:pPr>
              <w:ind w:firstLine="420" w:firstLineChars="200"/>
              <w:rPr>
                <w:rFonts w:hint="default"/>
                <w:color w:val="auto"/>
                <w:sz w:val="21"/>
                <w:szCs w:val="21"/>
                <w:lang w:val="en-US" w:eastAsia="zh-CN"/>
              </w:rPr>
            </w:pPr>
            <w:r>
              <w:rPr>
                <w:rFonts w:hint="eastAsia"/>
                <w:color w:val="auto"/>
                <w:sz w:val="21"/>
                <w:szCs w:val="21"/>
                <w:lang w:val="en-US" w:eastAsia="zh-CN"/>
              </w:rPr>
              <w:t>2、提供：管理评审档案，含  1.管理评审计划、2.管理评审报告、3.签到表、各部门管理评审输入资料，编审批齐全。</w:t>
            </w:r>
          </w:p>
          <w:p>
            <w:pPr>
              <w:ind w:firstLine="420" w:firstLineChars="200"/>
              <w:rPr>
                <w:rFonts w:hint="eastAsia"/>
                <w:color w:val="auto"/>
                <w:sz w:val="21"/>
                <w:szCs w:val="21"/>
                <w:lang w:val="en-US" w:eastAsia="zh-CN"/>
              </w:rPr>
            </w:pPr>
            <w:r>
              <w:rPr>
                <w:rFonts w:hint="eastAsia"/>
                <w:color w:val="auto"/>
                <w:sz w:val="21"/>
                <w:szCs w:val="21"/>
                <w:lang w:val="en-US" w:eastAsia="zh-CN"/>
              </w:rPr>
              <w:t>出示“管理评审会议签到表”总经理、中层以上负责人参加并签到；</w:t>
            </w:r>
          </w:p>
          <w:p>
            <w:pPr>
              <w:pStyle w:val="2"/>
              <w:jc w:val="center"/>
              <w:rPr>
                <w:rFonts w:hint="eastAsia"/>
                <w:color w:val="auto"/>
                <w:sz w:val="21"/>
                <w:szCs w:val="21"/>
                <w:lang w:val="en-US" w:eastAsia="zh-CN"/>
              </w:rPr>
            </w:pPr>
            <w:r>
              <w:rPr>
                <w:color w:val="auto"/>
              </w:rPr>
              <w:drawing>
                <wp:inline distT="0" distB="0" distL="114300" distR="114300">
                  <wp:extent cx="1623695" cy="2026285"/>
                  <wp:effectExtent l="0" t="0" r="6985"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1623695" cy="2026285"/>
                          </a:xfrm>
                          <a:prstGeom prst="rect">
                            <a:avLst/>
                          </a:prstGeom>
                          <a:noFill/>
                          <a:ln>
                            <a:noFill/>
                          </a:ln>
                        </pic:spPr>
                      </pic:pic>
                    </a:graphicData>
                  </a:graphic>
                </wp:inline>
              </w:drawing>
            </w:r>
          </w:p>
          <w:p>
            <w:pPr>
              <w:ind w:firstLine="400" w:firstLineChars="200"/>
              <w:rPr>
                <w:rFonts w:hint="eastAsia"/>
                <w:color w:val="auto"/>
                <w:sz w:val="20"/>
                <w:lang w:val="en-US" w:eastAsia="zh-CN"/>
              </w:rPr>
            </w:pPr>
            <w:r>
              <w:rPr>
                <w:rFonts w:hint="eastAsia"/>
                <w:color w:val="auto"/>
                <w:sz w:val="20"/>
                <w:lang w:val="en-US" w:eastAsia="zh-CN"/>
              </w:rPr>
              <w:t>出示“管理评审会议记录”，查评审输入内容包括：</w:t>
            </w:r>
          </w:p>
          <w:p>
            <w:pPr>
              <w:ind w:firstLine="400" w:firstLineChars="200"/>
              <w:rPr>
                <w:rFonts w:hint="eastAsia"/>
                <w:color w:val="auto"/>
                <w:sz w:val="20"/>
                <w:lang w:val="en-US" w:eastAsia="zh-CN"/>
              </w:rPr>
            </w:pPr>
            <w:r>
              <w:rPr>
                <w:rFonts w:hint="eastAsia"/>
                <w:color w:val="auto"/>
                <w:sz w:val="20"/>
                <w:lang w:val="en-US" w:eastAsia="zh-CN"/>
              </w:rPr>
              <w:t>3、评审目的：围绕管理方针和目标的贯彻实施，评价能源管理体系的适宜性，充分性和有效性。</w:t>
            </w:r>
          </w:p>
          <w:p>
            <w:pPr>
              <w:ind w:firstLine="400" w:firstLineChars="200"/>
              <w:rPr>
                <w:rFonts w:hint="eastAsia"/>
                <w:color w:val="auto"/>
                <w:sz w:val="20"/>
                <w:szCs w:val="22"/>
                <w:lang w:val="en-US" w:eastAsia="zh-CN"/>
              </w:rPr>
            </w:pPr>
            <w:r>
              <w:rPr>
                <w:rFonts w:hint="eastAsia"/>
                <w:color w:val="auto"/>
                <w:sz w:val="20"/>
                <w:szCs w:val="22"/>
                <w:lang w:val="en-US" w:eastAsia="zh-CN"/>
              </w:rPr>
              <w:t>评审组织：主持：总经理，出席：管理者代表、各部门负责人。</w:t>
            </w:r>
          </w:p>
          <w:p>
            <w:pPr>
              <w:ind w:firstLine="400" w:firstLineChars="200"/>
              <w:rPr>
                <w:rFonts w:hint="eastAsia"/>
                <w:color w:val="auto"/>
                <w:sz w:val="20"/>
                <w:lang w:val="en-US" w:eastAsia="zh-CN"/>
              </w:rPr>
            </w:pPr>
            <w:r>
              <w:rPr>
                <w:rFonts w:hint="eastAsia"/>
                <w:color w:val="auto"/>
                <w:sz w:val="20"/>
                <w:lang w:val="en-US" w:eastAsia="zh-CN"/>
              </w:rPr>
              <w:t>评审内容：</w:t>
            </w:r>
          </w:p>
          <w:p>
            <w:pPr>
              <w:ind w:firstLine="400" w:firstLineChars="200"/>
              <w:rPr>
                <w:rFonts w:hint="eastAsia"/>
                <w:color w:val="auto"/>
                <w:sz w:val="20"/>
                <w:lang w:val="en-US" w:eastAsia="zh-CN"/>
              </w:rPr>
            </w:pPr>
            <w:r>
              <w:rPr>
                <w:rFonts w:hint="eastAsia"/>
                <w:color w:val="auto"/>
                <w:sz w:val="20"/>
                <w:lang w:val="en-US" w:eastAsia="zh-CN"/>
              </w:rPr>
              <w:t>1）以往管理评审所采取措施的状况；</w:t>
            </w:r>
          </w:p>
          <w:p>
            <w:pPr>
              <w:ind w:firstLine="400" w:firstLineChars="200"/>
              <w:rPr>
                <w:rFonts w:hint="eastAsia"/>
                <w:color w:val="auto"/>
                <w:sz w:val="20"/>
                <w:lang w:val="en-US" w:eastAsia="zh-CN"/>
              </w:rPr>
            </w:pPr>
            <w:r>
              <w:rPr>
                <w:rFonts w:hint="eastAsia"/>
                <w:color w:val="auto"/>
                <w:sz w:val="20"/>
                <w:lang w:val="en-US" w:eastAsia="zh-CN"/>
              </w:rPr>
              <w:t>2）与能源管理体系相关的内、外部因素以及相关的风险和机遇的变化；</w:t>
            </w:r>
          </w:p>
          <w:p>
            <w:pPr>
              <w:ind w:firstLine="400" w:firstLineChars="200"/>
              <w:rPr>
                <w:rFonts w:hint="eastAsia"/>
                <w:color w:val="auto"/>
                <w:sz w:val="20"/>
                <w:lang w:val="en-US" w:eastAsia="zh-CN"/>
              </w:rPr>
            </w:pPr>
            <w:r>
              <w:rPr>
                <w:rFonts w:hint="eastAsia"/>
                <w:color w:val="auto"/>
                <w:sz w:val="20"/>
                <w:lang w:val="en-US" w:eastAsia="zh-CN"/>
              </w:rPr>
              <w:t>3）有关能源管理体系绩效方面的信息，包括其趋势：不符合和纠正措施；监视和测量结果；审核结果；法律法规和其他要求的符合性评价结果。</w:t>
            </w:r>
          </w:p>
          <w:p>
            <w:pPr>
              <w:ind w:firstLine="400" w:firstLineChars="200"/>
              <w:rPr>
                <w:rFonts w:hint="eastAsia"/>
                <w:color w:val="auto"/>
                <w:sz w:val="20"/>
                <w:lang w:val="en-US" w:eastAsia="zh-CN"/>
              </w:rPr>
            </w:pPr>
            <w:r>
              <w:rPr>
                <w:rFonts w:hint="eastAsia"/>
                <w:color w:val="auto"/>
                <w:sz w:val="20"/>
                <w:lang w:val="en-US" w:eastAsia="zh-CN"/>
              </w:rPr>
              <w:t>4）持续改进的机会，包括人员能力；</w:t>
            </w:r>
          </w:p>
          <w:p>
            <w:pPr>
              <w:ind w:firstLine="400" w:firstLineChars="200"/>
              <w:rPr>
                <w:rFonts w:hint="eastAsia"/>
                <w:color w:val="auto"/>
                <w:sz w:val="20"/>
                <w:lang w:val="en-US" w:eastAsia="zh-CN"/>
              </w:rPr>
            </w:pPr>
            <w:r>
              <w:rPr>
                <w:rFonts w:hint="eastAsia"/>
                <w:color w:val="auto"/>
                <w:sz w:val="20"/>
                <w:lang w:val="en-US" w:eastAsia="zh-CN"/>
              </w:rPr>
              <w:t>5）能源方针；</w:t>
            </w:r>
          </w:p>
          <w:p>
            <w:pPr>
              <w:ind w:firstLine="400" w:firstLineChars="200"/>
              <w:rPr>
                <w:rFonts w:hint="eastAsia"/>
                <w:color w:val="auto"/>
                <w:sz w:val="20"/>
                <w:lang w:val="en-US" w:eastAsia="zh-CN"/>
              </w:rPr>
            </w:pPr>
            <w:r>
              <w:rPr>
                <w:rFonts w:hint="eastAsia"/>
                <w:color w:val="auto"/>
                <w:sz w:val="20"/>
                <w:lang w:val="en-US" w:eastAsia="zh-CN"/>
              </w:rPr>
              <w:t>6）能源绩效有关的信息，应包括：目标和能源指标的实现程度；基于监视和测量结果（包括能源绩效参数）的能源绩效和能源绩效改进；措施计划的状况。</w:t>
            </w:r>
          </w:p>
          <w:p>
            <w:pPr>
              <w:pStyle w:val="2"/>
              <w:rPr>
                <w:rFonts w:hint="default" w:ascii="Times New Roman" w:hAnsi="Times New Roman" w:eastAsia="宋体" w:cs="Times New Roman"/>
                <w:bCs w:val="0"/>
                <w:color w:val="auto"/>
                <w:spacing w:val="0"/>
                <w:kern w:val="2"/>
                <w:sz w:val="20"/>
                <w:szCs w:val="22"/>
                <w:lang w:val="en-US" w:eastAsia="zh-CN" w:bidi="ar-SA"/>
              </w:rPr>
            </w:pPr>
            <w:r>
              <w:rPr>
                <w:rFonts w:hint="eastAsia"/>
                <w:color w:val="auto"/>
                <w:sz w:val="20"/>
                <w:lang w:val="en-US" w:eastAsia="zh-CN"/>
              </w:rPr>
              <w:t xml:space="preserve">   </w:t>
            </w:r>
            <w:r>
              <w:rPr>
                <w:rFonts w:hint="eastAsia" w:ascii="Times New Roman" w:hAnsi="Times New Roman" w:eastAsia="宋体" w:cs="Times New Roman"/>
                <w:bCs w:val="0"/>
                <w:color w:val="auto"/>
                <w:spacing w:val="0"/>
                <w:kern w:val="2"/>
                <w:sz w:val="20"/>
                <w:szCs w:val="22"/>
                <w:lang w:val="en-US" w:eastAsia="zh-CN" w:bidi="ar-SA"/>
              </w:rPr>
              <w:t>各管理部门以及管理者代表均有输入材料。符合标准要求。</w:t>
            </w:r>
          </w:p>
          <w:p>
            <w:pPr>
              <w:ind w:firstLine="400" w:firstLineChars="200"/>
              <w:rPr>
                <w:rFonts w:hint="eastAsia"/>
                <w:color w:val="auto"/>
                <w:sz w:val="20"/>
                <w:lang w:val="en-US" w:eastAsia="zh-CN"/>
              </w:rPr>
            </w:pPr>
            <w:r>
              <w:rPr>
                <w:rFonts w:hint="eastAsia"/>
                <w:color w:val="auto"/>
                <w:sz w:val="20"/>
                <w:lang w:val="en-US" w:eastAsia="zh-CN"/>
              </w:rPr>
              <w:t xml:space="preserve">4、管理评审输出，形成《管理评审报告》，共6大部分进行评述 。   </w:t>
            </w:r>
          </w:p>
          <w:p>
            <w:pPr>
              <w:ind w:firstLine="400" w:firstLineChars="200"/>
              <w:rPr>
                <w:rFonts w:hint="eastAsia"/>
                <w:color w:val="auto"/>
                <w:sz w:val="20"/>
                <w:lang w:val="en-US" w:eastAsia="zh-CN"/>
              </w:rPr>
            </w:pPr>
            <w:r>
              <w:rPr>
                <w:rFonts w:hint="eastAsia"/>
                <w:color w:val="auto"/>
                <w:sz w:val="20"/>
                <w:lang w:val="en-US" w:eastAsia="zh-CN"/>
              </w:rPr>
              <w:t>管理评审结论：</w:t>
            </w:r>
          </w:p>
          <w:p>
            <w:pPr>
              <w:ind w:firstLine="400" w:firstLineChars="200"/>
              <w:rPr>
                <w:rFonts w:hint="eastAsia"/>
                <w:color w:val="auto"/>
                <w:sz w:val="20"/>
                <w:lang w:val="en-US" w:eastAsia="zh-CN"/>
              </w:rPr>
            </w:pPr>
            <w:r>
              <w:rPr>
                <w:rFonts w:hint="eastAsia"/>
                <w:color w:val="auto"/>
                <w:sz w:val="20"/>
                <w:lang w:val="en-US" w:eastAsia="zh-CN"/>
              </w:rPr>
              <w:t>公司的能源管理体系与标准的要求一致，体系策划是充分的，体系档与公司目前的现状相一致，公司能源管理体系整体来看保持了持续的适宜性、充分性和有效性。</w:t>
            </w: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160" w:type="dxa"/>
            <w:vAlign w:val="top"/>
          </w:tcPr>
          <w:p>
            <w:pPr>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sz w:val="21"/>
                <w:szCs w:val="21"/>
                <w:lang w:val="en-US" w:eastAsia="zh-CN"/>
              </w:rPr>
              <w:t>持续改进</w:t>
            </w:r>
          </w:p>
        </w:tc>
        <w:tc>
          <w:tcPr>
            <w:tcW w:w="960" w:type="dxa"/>
            <w:vAlign w:val="top"/>
          </w:tcPr>
          <w:p>
            <w:pPr>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sz w:val="21"/>
                <w:szCs w:val="21"/>
                <w:lang w:val="en-US" w:eastAsia="zh-CN"/>
              </w:rPr>
              <w:t xml:space="preserve">10.2 </w:t>
            </w:r>
          </w:p>
        </w:tc>
        <w:tc>
          <w:tcPr>
            <w:tcW w:w="10376" w:type="dxa"/>
            <w:vAlign w:val="top"/>
          </w:tcPr>
          <w:p>
            <w:pPr>
              <w:ind w:firstLine="400" w:firstLineChars="200"/>
              <w:rPr>
                <w:rFonts w:hint="eastAsia" w:eastAsia="宋体"/>
                <w:color w:val="auto"/>
                <w:sz w:val="20"/>
                <w:lang w:val="en-US" w:eastAsia="zh-CN"/>
              </w:rPr>
            </w:pPr>
            <w:r>
              <w:rPr>
                <w:rFonts w:hint="eastAsia" w:eastAsia="宋体"/>
                <w:color w:val="auto"/>
                <w:sz w:val="20"/>
                <w:lang w:val="en-US" w:eastAsia="zh-CN"/>
              </w:rPr>
              <w:t>公司通过日常管理与检查、内审、管理评审等过程的控制实现持续改进。符合标准要求。</w:t>
            </w:r>
          </w:p>
          <w:p>
            <w:pPr>
              <w:ind w:firstLine="400" w:firstLineChars="200"/>
              <w:rPr>
                <w:rFonts w:hint="default" w:eastAsia="宋体"/>
                <w:color w:val="auto"/>
                <w:sz w:val="20"/>
                <w:lang w:val="en-US" w:eastAsia="zh-CN"/>
              </w:rPr>
            </w:pPr>
            <w:r>
              <w:rPr>
                <w:rFonts w:hint="eastAsia" w:eastAsia="宋体"/>
                <w:color w:val="auto"/>
                <w:sz w:val="20"/>
                <w:lang w:val="en-US" w:eastAsia="zh-CN"/>
              </w:rPr>
              <w:t>提供公司能源管理评审报告：</w:t>
            </w:r>
          </w:p>
          <w:p>
            <w:pPr>
              <w:ind w:firstLine="400" w:firstLineChars="200"/>
              <w:rPr>
                <w:rFonts w:hint="eastAsia" w:eastAsia="宋体"/>
                <w:color w:val="auto"/>
                <w:sz w:val="20"/>
                <w:lang w:val="en-US" w:eastAsia="zh-CN"/>
              </w:rPr>
            </w:pPr>
            <w:r>
              <w:rPr>
                <w:rFonts w:hint="eastAsia" w:eastAsia="宋体"/>
                <w:color w:val="auto"/>
                <w:sz w:val="20"/>
                <w:lang w:val="en-US" w:eastAsia="zh-CN"/>
              </w:rPr>
              <w:t>提出近期改进的方面：</w:t>
            </w:r>
          </w:p>
          <w:p>
            <w:pPr>
              <w:ind w:firstLine="400" w:firstLineChars="200"/>
              <w:rPr>
                <w:rFonts w:hint="eastAsia" w:eastAsia="宋体"/>
                <w:color w:val="auto"/>
                <w:sz w:val="20"/>
                <w:lang w:val="en-US" w:eastAsia="zh-CN"/>
              </w:rPr>
            </w:pPr>
            <w:r>
              <w:rPr>
                <w:rFonts w:hint="eastAsia" w:eastAsia="宋体"/>
                <w:color w:val="auto"/>
                <w:sz w:val="20"/>
                <w:lang w:val="en-US" w:eastAsia="zh-CN"/>
              </w:rPr>
              <w:t>经过能源管理体系的运行，能源管理取得了较好能效，结合能源管理现状及改进空间，总经理及管理者代表对公司下一阶段能源绩效进行了再规划：</w:t>
            </w:r>
          </w:p>
          <w:p>
            <w:pPr>
              <w:ind w:firstLine="400" w:firstLineChars="200"/>
              <w:rPr>
                <w:rFonts w:hint="eastAsia" w:eastAsia="宋体"/>
                <w:color w:val="auto"/>
                <w:sz w:val="20"/>
                <w:lang w:val="en-US" w:eastAsia="zh-CN"/>
              </w:rPr>
            </w:pPr>
            <w:r>
              <w:rPr>
                <w:rFonts w:hint="eastAsia" w:eastAsia="宋体"/>
                <w:color w:val="auto"/>
                <w:sz w:val="20"/>
                <w:lang w:val="en-US" w:eastAsia="zh-CN"/>
              </w:rPr>
              <w:t>1、加强加强新版标准的学习。</w:t>
            </w:r>
          </w:p>
          <w:p>
            <w:pPr>
              <w:ind w:firstLine="400" w:firstLineChars="200"/>
              <w:rPr>
                <w:rFonts w:hint="default" w:eastAsia="宋体" w:cs="Times New Roman"/>
                <w:bCs w:val="0"/>
                <w:color w:val="auto"/>
                <w:spacing w:val="0"/>
                <w:kern w:val="2"/>
                <w:sz w:val="21"/>
                <w:szCs w:val="22"/>
                <w:lang w:val="en-US" w:eastAsia="zh-CN" w:bidi="ar-SA"/>
              </w:rPr>
            </w:pPr>
            <w:r>
              <w:rPr>
                <w:rFonts w:hint="eastAsia" w:eastAsia="宋体"/>
                <w:color w:val="auto"/>
                <w:sz w:val="20"/>
                <w:lang w:val="en-US" w:eastAsia="zh-CN"/>
              </w:rPr>
              <w:t>2、持续推进《能源使用评价表》中识别的能源绩效改进机会。</w:t>
            </w: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2160" w:type="dxa"/>
            <w:vAlign w:val="top"/>
          </w:tcPr>
          <w:p>
            <w:pPr>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Cs w:val="21"/>
              </w:rPr>
              <w:t>对一阶段问题整改情况的确认</w:t>
            </w:r>
          </w:p>
        </w:tc>
        <w:tc>
          <w:tcPr>
            <w:tcW w:w="960" w:type="dxa"/>
            <w:vAlign w:val="top"/>
          </w:tcPr>
          <w:p>
            <w:pPr>
              <w:rPr>
                <w:rFonts w:hint="eastAsia" w:cs="Times New Roman" w:asciiTheme="minorEastAsia" w:hAnsiTheme="minorEastAsia" w:eastAsiaTheme="minorEastAsia"/>
                <w:color w:val="auto"/>
                <w:kern w:val="2"/>
                <w:sz w:val="21"/>
                <w:szCs w:val="21"/>
                <w:lang w:val="en-US" w:eastAsia="zh-CN" w:bidi="ar-SA"/>
              </w:rPr>
            </w:pPr>
          </w:p>
        </w:tc>
        <w:tc>
          <w:tcPr>
            <w:tcW w:w="10376" w:type="dxa"/>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s="Times New Roman" w:asciiTheme="minorEastAsia" w:hAnsiTheme="minorEastAsia" w:eastAsiaTheme="minorEastAsia"/>
                <w:b/>
                <w:bCs/>
                <w:color w:val="auto"/>
                <w:kern w:val="2"/>
                <w:sz w:val="21"/>
                <w:szCs w:val="21"/>
                <w:lang w:val="en-US" w:eastAsia="zh-CN" w:bidi="ar-SA"/>
              </w:rPr>
            </w:pPr>
            <w:r>
              <w:rPr>
                <w:rFonts w:hint="eastAsia" w:asciiTheme="minorEastAsia" w:hAnsiTheme="minorEastAsia" w:eastAsiaTheme="minorEastAsia"/>
                <w:color w:val="auto"/>
                <w:szCs w:val="21"/>
              </w:rPr>
              <w:t>一阶段问题在二阶段审核前问题均进行沟通。</w:t>
            </w:r>
          </w:p>
        </w:tc>
        <w:tc>
          <w:tcPr>
            <w:tcW w:w="1213" w:type="dxa"/>
          </w:tcPr>
          <w:p>
            <w:pPr>
              <w:rPr>
                <w:rFonts w:hint="eastAsia" w:eastAsia="宋体"/>
                <w:color w:val="auto"/>
                <w:lang w:val="en-US" w:eastAsia="zh-CN"/>
              </w:rPr>
            </w:pPr>
            <w:r>
              <w:rPr>
                <w:rFonts w:hint="eastAsia"/>
                <w:color w:val="auto"/>
                <w:lang w:val="en-US" w:eastAsia="zh-CN"/>
              </w:rPr>
              <w:t>Y</w:t>
            </w:r>
          </w:p>
        </w:tc>
      </w:tr>
    </w:tbl>
    <w:p>
      <w:pPr>
        <w:pStyle w:val="5"/>
        <w:rPr>
          <w:rFonts w:hint="eastAsia"/>
          <w:color w:val="000000" w:themeColor="text1"/>
        </w:rPr>
      </w:pPr>
      <w:r>
        <w:rPr>
          <w:rFonts w:hint="eastAsia"/>
          <w:color w:val="000000" w:themeColor="text1"/>
        </w:rPr>
        <w:t>说明：不符合标注N</w:t>
      </w:r>
    </w:p>
    <w:p>
      <w:pPr>
        <w:pStyle w:val="5"/>
        <w:rPr>
          <w:rFonts w:hint="eastAsia"/>
          <w:color w:val="000000" w:themeColor="text1"/>
        </w:rPr>
      </w:pPr>
    </w:p>
    <w:p>
      <w:pPr>
        <w:pStyle w:val="5"/>
        <w:rPr>
          <w:rFonts w:hint="eastAsia"/>
          <w:color w:val="000000" w:themeColor="text1"/>
        </w:rPr>
      </w:pPr>
    </w:p>
    <w:p>
      <w:pPr>
        <w:pStyle w:val="5"/>
        <w:rPr>
          <w:rFonts w:hint="eastAsia"/>
          <w:color w:val="000000" w:themeColor="text1"/>
        </w:rPr>
      </w:pPr>
    </w:p>
    <w:p>
      <w:pPr>
        <w:pStyle w:val="5"/>
        <w:rPr>
          <w:rFonts w:hint="eastAsia"/>
          <w:color w:val="000000" w:themeColor="text1"/>
        </w:rPr>
      </w:pPr>
    </w:p>
    <w:p>
      <w:pPr>
        <w:pStyle w:val="5"/>
        <w:rPr>
          <w:rFonts w:hint="eastAsia"/>
          <w:color w:val="000000" w:themeColor="text1"/>
        </w:rPr>
      </w:pPr>
    </w:p>
    <w:p>
      <w:pPr>
        <w:pStyle w:val="5"/>
        <w:rPr>
          <w:rFonts w:hint="eastAsia"/>
          <w:color w:val="000000" w:themeColor="text1"/>
        </w:rPr>
      </w:pPr>
    </w:p>
    <w:p>
      <w:pPr>
        <w:pStyle w:val="5"/>
        <w:rPr>
          <w:rFonts w:hint="eastAsia"/>
          <w:color w:val="000000" w:themeColor="text1"/>
        </w:rPr>
      </w:pPr>
    </w:p>
    <w:p>
      <w:pPr>
        <w:pStyle w:val="5"/>
        <w:rPr>
          <w:rFonts w:hint="eastAsia"/>
          <w:color w:val="000000" w:themeColor="text1"/>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8"/>
        <w:tblW w:w="15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1022"/>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Cs w:val="21"/>
              </w:rPr>
            </w:pPr>
            <w:r>
              <w:rPr>
                <w:rFonts w:hint="eastAsia"/>
                <w:color w:val="auto"/>
                <w:szCs w:val="21"/>
              </w:rPr>
              <w:t>过程与活动、</w:t>
            </w:r>
          </w:p>
          <w:p>
            <w:pPr>
              <w:jc w:val="center"/>
              <w:rPr>
                <w:color w:val="auto"/>
                <w:szCs w:val="21"/>
              </w:rPr>
            </w:pPr>
            <w:r>
              <w:rPr>
                <w:rFonts w:hint="eastAsia"/>
                <w:color w:val="auto"/>
                <w:szCs w:val="21"/>
              </w:rPr>
              <w:t>抽样计划</w:t>
            </w:r>
          </w:p>
        </w:tc>
        <w:tc>
          <w:tcPr>
            <w:tcW w:w="960" w:type="dxa"/>
            <w:vMerge w:val="restart"/>
            <w:vAlign w:val="center"/>
          </w:tcPr>
          <w:p>
            <w:pPr>
              <w:rPr>
                <w:color w:val="auto"/>
                <w:szCs w:val="21"/>
              </w:rPr>
            </w:pPr>
            <w:r>
              <w:rPr>
                <w:rFonts w:hint="eastAsia"/>
                <w:color w:val="auto"/>
                <w:szCs w:val="21"/>
              </w:rPr>
              <w:t>涉及</w:t>
            </w:r>
          </w:p>
          <w:p>
            <w:pPr>
              <w:rPr>
                <w:color w:val="auto"/>
                <w:szCs w:val="21"/>
              </w:rPr>
            </w:pPr>
            <w:r>
              <w:rPr>
                <w:rFonts w:hint="eastAsia"/>
                <w:color w:val="auto"/>
                <w:szCs w:val="21"/>
              </w:rPr>
              <w:t>条款</w:t>
            </w:r>
          </w:p>
        </w:tc>
        <w:tc>
          <w:tcPr>
            <w:tcW w:w="11022" w:type="dxa"/>
            <w:vAlign w:val="center"/>
          </w:tcPr>
          <w:p>
            <w:pPr>
              <w:rPr>
                <w:color w:val="auto"/>
                <w:szCs w:val="21"/>
              </w:rPr>
            </w:pPr>
            <w:r>
              <w:rPr>
                <w:rFonts w:hint="eastAsia"/>
                <w:color w:val="auto"/>
                <w:szCs w:val="21"/>
              </w:rPr>
              <w:t>受审核部门：</w:t>
            </w:r>
            <w:r>
              <w:rPr>
                <w:rFonts w:hint="eastAsia"/>
                <w:color w:val="auto"/>
                <w:szCs w:val="21"/>
                <w:lang w:eastAsia="zh-CN"/>
              </w:rPr>
              <w:t>安全部</w:t>
            </w:r>
            <w:r>
              <w:rPr>
                <w:rFonts w:hint="eastAsia"/>
                <w:color w:val="auto"/>
                <w:szCs w:val="21"/>
              </w:rPr>
              <w:t xml:space="preserve">            </w:t>
            </w:r>
            <w:r>
              <w:rPr>
                <w:rFonts w:hint="eastAsia"/>
                <w:color w:val="auto"/>
                <w:szCs w:val="21"/>
                <w:lang w:val="en-US" w:eastAsia="zh-CN"/>
              </w:rPr>
              <w:t xml:space="preserve">  </w:t>
            </w:r>
            <w:r>
              <w:rPr>
                <w:rFonts w:hint="eastAsia"/>
                <w:color w:val="auto"/>
                <w:szCs w:val="21"/>
              </w:rPr>
              <w:t xml:space="preserve">主管领导： </w:t>
            </w:r>
            <w:r>
              <w:rPr>
                <w:rFonts w:hint="eastAsia"/>
                <w:color w:val="auto"/>
                <w:szCs w:val="21"/>
                <w:lang w:eastAsia="zh-CN"/>
              </w:rPr>
              <w:t>凌强</w:t>
            </w:r>
            <w:r>
              <w:rPr>
                <w:rFonts w:hint="eastAsia"/>
                <w:color w:val="auto"/>
                <w:szCs w:val="21"/>
              </w:rPr>
              <w:t xml:space="preserve">         陪同人员： </w:t>
            </w:r>
            <w:r>
              <w:rPr>
                <w:rFonts w:hint="eastAsia"/>
                <w:color w:val="auto"/>
                <w:szCs w:val="21"/>
                <w:lang w:val="en-US" w:eastAsia="zh-CN"/>
              </w:rPr>
              <w:t>张玲</w:t>
            </w:r>
          </w:p>
        </w:tc>
        <w:tc>
          <w:tcPr>
            <w:tcW w:w="1417" w:type="dxa"/>
            <w:vMerge w:val="restart"/>
            <w:vAlign w:val="center"/>
          </w:tcPr>
          <w:p>
            <w:pPr>
              <w:rPr>
                <w:color w:val="auto"/>
                <w:szCs w:val="21"/>
              </w:rPr>
            </w:pPr>
            <w:r>
              <w:rPr>
                <w:rFonts w:hint="eastAsia"/>
                <w:color w:val="auto"/>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1022" w:type="dxa"/>
            <w:vAlign w:val="center"/>
          </w:tcPr>
          <w:p>
            <w:pPr>
              <w:rPr>
                <w:color w:val="auto"/>
                <w:szCs w:val="21"/>
              </w:rPr>
            </w:pPr>
            <w:r>
              <w:rPr>
                <w:rFonts w:hint="eastAsia"/>
                <w:color w:val="auto"/>
                <w:szCs w:val="21"/>
              </w:rPr>
              <w:t>审核员：</w:t>
            </w:r>
            <w:r>
              <w:rPr>
                <w:rFonts w:hint="eastAsia" w:ascii="Times New Roman" w:hAnsi="Times New Roman" w:eastAsia="宋体" w:cs="Times New Roman"/>
                <w:color w:val="auto"/>
                <w:sz w:val="21"/>
                <w:szCs w:val="21"/>
                <w:lang w:val="en-US" w:eastAsia="zh-CN"/>
              </w:rPr>
              <w:t>王宁敏</w:t>
            </w:r>
            <w:r>
              <w:rPr>
                <w:rFonts w:hint="eastAsia"/>
                <w:color w:val="auto"/>
                <w:sz w:val="21"/>
                <w:szCs w:val="21"/>
                <w:lang w:eastAsia="zh-CN"/>
              </w:rPr>
              <w:t>（远程</w:t>
            </w:r>
            <w:r>
              <w:rPr>
                <w:rFonts w:hint="eastAsia"/>
                <w:color w:val="auto"/>
                <w:sz w:val="21"/>
                <w:szCs w:val="21"/>
                <w:lang w:val="en-US" w:eastAsia="zh-CN"/>
              </w:rPr>
              <w:t>-腾讯会议、</w:t>
            </w:r>
            <w:r>
              <w:rPr>
                <w:rFonts w:hint="eastAsia"/>
                <w:color w:val="auto"/>
                <w:sz w:val="21"/>
                <w:szCs w:val="21"/>
                <w:lang w:eastAsia="zh-CN"/>
              </w:rPr>
              <w:t>微信群、电话、视频等）</w:t>
            </w:r>
            <w:r>
              <w:rPr>
                <w:rFonts w:hint="eastAsia" w:ascii="Times New Roman" w:hAnsi="Times New Roman" w:eastAsia="宋体" w:cs="Times New Roman"/>
                <w:color w:val="auto"/>
                <w:sz w:val="21"/>
                <w:szCs w:val="21"/>
                <w:lang w:val="en-US" w:eastAsia="zh-CN"/>
              </w:rPr>
              <w:t>审核时间：2022-0</w:t>
            </w:r>
            <w:r>
              <w:rPr>
                <w:rFonts w:hint="eastAsia" w:cs="Times New Roman"/>
                <w:color w:val="auto"/>
                <w:sz w:val="21"/>
                <w:szCs w:val="21"/>
                <w:lang w:val="en-US" w:eastAsia="zh-CN"/>
              </w:rPr>
              <w:t>9</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28</w:t>
            </w:r>
            <w:r>
              <w:rPr>
                <w:rFonts w:hint="eastAsia" w:ascii="Times New Roman" w:hAnsi="Times New Roman" w:eastAsia="宋体" w:cs="Times New Roman"/>
                <w:color w:val="auto"/>
                <w:sz w:val="21"/>
                <w:szCs w:val="21"/>
                <w:lang w:val="en-US" w:eastAsia="zh-CN"/>
              </w:rPr>
              <w:t xml:space="preserve">  </w:t>
            </w:r>
            <w:r>
              <w:rPr>
                <w:rFonts w:hint="eastAsia" w:cs="Times New Roman"/>
                <w:color w:val="auto"/>
                <w:sz w:val="21"/>
                <w:szCs w:val="21"/>
                <w:lang w:val="en-US" w:eastAsia="zh-CN"/>
              </w:rPr>
              <w:t>08:00-17:00</w:t>
            </w:r>
            <w:r>
              <w:rPr>
                <w:rFonts w:hint="eastAsia" w:ascii="宋体" w:hAnsi="宋体"/>
                <w:b/>
                <w:bCs/>
                <w:color w:val="auto"/>
                <w:sz w:val="21"/>
                <w:szCs w:val="21"/>
                <w:lang w:val="en-US" w:eastAsia="zh-CN"/>
              </w:rPr>
              <w:t>（其中12:00-12:30午餐）</w:t>
            </w:r>
          </w:p>
        </w:tc>
        <w:tc>
          <w:tcPr>
            <w:tcW w:w="1417"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1022" w:type="dxa"/>
            <w:vAlign w:val="center"/>
          </w:tcPr>
          <w:p>
            <w:pPr>
              <w:snapToGrid w:val="0"/>
              <w:jc w:val="left"/>
              <w:rPr>
                <w:rFonts w:hint="default" w:eastAsia="宋体"/>
                <w:color w:val="auto"/>
                <w:szCs w:val="21"/>
                <w:lang w:val="en-US" w:eastAsia="zh-CN"/>
              </w:rPr>
            </w:pPr>
            <w:r>
              <w:rPr>
                <w:rFonts w:hint="eastAsia"/>
                <w:color w:val="auto"/>
                <w:szCs w:val="21"/>
              </w:rPr>
              <w:t>审核条款：</w:t>
            </w:r>
            <w:r>
              <w:rPr>
                <w:rFonts w:hint="eastAsia" w:ascii="宋体" w:hAnsi="宋体"/>
                <w:color w:val="auto"/>
                <w:szCs w:val="21"/>
                <w:highlight w:val="none"/>
              </w:rPr>
              <w:t>5.3 组织的岗位、职责和权限、6.2 目标、能源指及其实现的策划、8.1 运行的策划和控制</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10.1不符合与纠正措施</w:t>
            </w:r>
            <w:r>
              <w:rPr>
                <w:rFonts w:hint="eastAsia" w:ascii="宋体" w:hAnsi="宋体"/>
                <w:color w:val="auto"/>
                <w:szCs w:val="21"/>
                <w:highlight w:val="none"/>
                <w:lang w:eastAsia="zh-CN"/>
              </w:rPr>
              <w:t>。</w:t>
            </w:r>
            <w:r>
              <w:rPr>
                <w:rFonts w:hint="eastAsia" w:ascii="宋体" w:hAnsi="宋体" w:eastAsia="宋体" w:cs="Times New Roman"/>
                <w:b/>
                <w:bCs/>
                <w:color w:val="auto"/>
                <w:sz w:val="21"/>
                <w:szCs w:val="21"/>
              </w:rPr>
              <w:t>E</w:t>
            </w:r>
            <w:r>
              <w:rPr>
                <w:rFonts w:hint="eastAsia" w:ascii="宋体" w:hAnsi="宋体" w:eastAsia="宋体" w:cs="Times New Roman"/>
                <w:b/>
                <w:bCs/>
                <w:color w:val="auto"/>
                <w:sz w:val="21"/>
                <w:szCs w:val="21"/>
                <w:lang w:val="en-US" w:eastAsia="zh-CN"/>
              </w:rPr>
              <w:t>n</w:t>
            </w:r>
            <w:r>
              <w:rPr>
                <w:rFonts w:hint="eastAsia" w:ascii="宋体" w:hAnsi="宋体" w:eastAsia="宋体" w:cs="Times New Roman"/>
                <w:b/>
                <w:bCs/>
                <w:color w:val="auto"/>
                <w:sz w:val="21"/>
                <w:szCs w:val="21"/>
              </w:rPr>
              <w:t>MS: 5.3</w:t>
            </w:r>
            <w:r>
              <w:rPr>
                <w:rFonts w:hint="eastAsia" w:ascii="宋体" w:hAnsi="宋体" w:eastAsia="宋体" w:cs="Times New Roman"/>
                <w:b/>
                <w:bCs/>
                <w:color w:val="auto"/>
                <w:sz w:val="21"/>
                <w:szCs w:val="21"/>
                <w:lang w:val="en-US" w:eastAsia="zh-CN"/>
              </w:rPr>
              <w:t>/</w:t>
            </w:r>
            <w:r>
              <w:rPr>
                <w:rFonts w:hint="eastAsia" w:ascii="宋体" w:hAnsi="宋体" w:eastAsia="宋体" w:cs="Times New Roman"/>
                <w:b/>
                <w:bCs/>
                <w:color w:val="auto"/>
                <w:sz w:val="21"/>
                <w:szCs w:val="21"/>
              </w:rPr>
              <w:t>6.2</w:t>
            </w:r>
            <w:r>
              <w:rPr>
                <w:rFonts w:hint="eastAsia" w:ascii="宋体" w:hAnsi="宋体" w:eastAsia="宋体" w:cs="Times New Roman"/>
                <w:b/>
                <w:bCs/>
                <w:color w:val="auto"/>
                <w:sz w:val="21"/>
                <w:szCs w:val="21"/>
                <w:lang w:val="en-US" w:eastAsia="zh-CN"/>
              </w:rPr>
              <w:t>/</w:t>
            </w:r>
            <w:r>
              <w:rPr>
                <w:rFonts w:hint="eastAsia" w:ascii="宋体" w:hAnsi="宋体" w:eastAsia="宋体" w:cs="Times New Roman"/>
                <w:b/>
                <w:bCs/>
                <w:color w:val="auto"/>
                <w:sz w:val="21"/>
                <w:szCs w:val="21"/>
              </w:rPr>
              <w:t>8.1</w:t>
            </w:r>
            <w:r>
              <w:rPr>
                <w:rFonts w:hint="eastAsia" w:ascii="宋体" w:hAnsi="宋体" w:cs="Times New Roman"/>
                <w:b/>
                <w:bCs/>
                <w:color w:val="auto"/>
                <w:sz w:val="21"/>
                <w:szCs w:val="21"/>
                <w:lang w:val="en-US" w:eastAsia="zh-CN"/>
              </w:rPr>
              <w:t>.10.1。</w:t>
            </w:r>
          </w:p>
        </w:tc>
        <w:tc>
          <w:tcPr>
            <w:tcW w:w="1417"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rPr>
                <w:rFonts w:hint="eastAsia"/>
                <w:color w:val="auto"/>
              </w:rPr>
            </w:pPr>
            <w:r>
              <w:rPr>
                <w:rFonts w:hint="eastAsia"/>
                <w:color w:val="auto"/>
                <w:lang w:val="en-US" w:eastAsia="zh-CN"/>
              </w:rPr>
              <w:t>1.</w:t>
            </w:r>
            <w:r>
              <w:rPr>
                <w:rFonts w:hint="eastAsia"/>
                <w:color w:val="auto"/>
              </w:rPr>
              <w:t>组织的岗位、职责和权限</w:t>
            </w:r>
          </w:p>
          <w:p>
            <w:pPr>
              <w:rPr>
                <w:rFonts w:hint="eastAsia" w:ascii="Times New Roman" w:hAnsi="Times New Roman" w:eastAsia="宋体" w:cs="Times New Roman"/>
                <w:color w:val="auto"/>
                <w:kern w:val="2"/>
                <w:sz w:val="21"/>
                <w:lang w:val="en-US" w:eastAsia="zh-CN" w:bidi="ar-SA"/>
              </w:rPr>
            </w:pPr>
            <w:r>
              <w:rPr>
                <w:rFonts w:hint="eastAsia"/>
                <w:color w:val="auto"/>
              </w:rPr>
              <w:t>2.能源管理目标、指标及实现措施策划适宜性；能源职责</w:t>
            </w:r>
            <w:r>
              <w:rPr>
                <w:rFonts w:hint="eastAsia"/>
                <w:color w:val="auto"/>
                <w:lang w:eastAsia="zh-CN"/>
              </w:rPr>
              <w:t>。</w:t>
            </w:r>
          </w:p>
        </w:tc>
        <w:tc>
          <w:tcPr>
            <w:tcW w:w="960" w:type="dxa"/>
            <w:vAlign w:val="top"/>
          </w:tcPr>
          <w:p>
            <w:pPr>
              <w:rPr>
                <w:rFonts w:hint="default" w:ascii="Times New Roman" w:hAnsi="Times New Roman" w:eastAsia="宋体" w:cs="Times New Roman"/>
                <w:color w:val="auto"/>
                <w:kern w:val="2"/>
                <w:sz w:val="21"/>
                <w:lang w:val="en-US" w:eastAsia="zh-CN" w:bidi="ar-SA"/>
              </w:rPr>
            </w:pPr>
            <w:r>
              <w:rPr>
                <w:rFonts w:hint="eastAsia"/>
                <w:color w:val="auto"/>
              </w:rPr>
              <w:t>5.3</w:t>
            </w:r>
            <w:r>
              <w:rPr>
                <w:rFonts w:hint="eastAsia"/>
                <w:color w:val="auto"/>
                <w:lang w:val="en-US" w:eastAsia="zh-CN"/>
              </w:rPr>
              <w:t>/6.2</w:t>
            </w:r>
          </w:p>
        </w:tc>
        <w:tc>
          <w:tcPr>
            <w:tcW w:w="11022" w:type="dxa"/>
            <w:vAlign w:val="top"/>
          </w:tcPr>
          <w:p>
            <w:pPr>
              <w:ind w:firstLine="420" w:firstLineChars="200"/>
              <w:rPr>
                <w:rFonts w:hint="eastAsia" w:ascii="Times New Roman" w:hAnsi="Times New Roman" w:eastAsia="宋体" w:cs="Times New Roman"/>
                <w:color w:val="auto"/>
                <w:lang w:val="en-US" w:eastAsia="zh-CN"/>
              </w:rPr>
            </w:pPr>
            <w:r>
              <w:rPr>
                <w:rFonts w:hint="eastAsia"/>
                <w:color w:val="auto"/>
                <w:lang w:val="en-US" w:eastAsia="zh-CN"/>
              </w:rPr>
              <w:t>提供《JXNHBA/QP-03</w:t>
            </w:r>
            <w:r>
              <w:rPr>
                <w:rFonts w:hint="eastAsia"/>
                <w:color w:val="auto"/>
                <w:lang w:val="en-US" w:eastAsia="zh-CN"/>
              </w:rPr>
              <w:tab/>
            </w:r>
            <w:r>
              <w:rPr>
                <w:rFonts w:hint="eastAsia"/>
                <w:color w:val="auto"/>
                <w:lang w:val="en-US" w:eastAsia="zh-CN"/>
              </w:rPr>
              <w:t>目标、指标的制定控制程序》，有编审批，符合标准要求。</w:t>
            </w:r>
          </w:p>
          <w:p>
            <w:pPr>
              <w:ind w:firstLine="420" w:firstLineChars="200"/>
              <w:rPr>
                <w:rFonts w:hint="eastAsia" w:ascii="Times New Roman" w:hAnsi="Times New Roman" w:eastAsia="宋体" w:cs="Times New Roman"/>
                <w:color w:val="auto"/>
                <w:lang w:val="en-US" w:eastAsia="zh-CN"/>
              </w:rPr>
            </w:pPr>
            <w:r>
              <w:rPr>
                <w:rFonts w:hint="eastAsia" w:cs="Times New Roman"/>
                <w:color w:val="auto"/>
                <w:lang w:val="en-US" w:eastAsia="zh-CN"/>
              </w:rPr>
              <w:t>安全部</w:t>
            </w:r>
            <w:r>
              <w:rPr>
                <w:rFonts w:hint="eastAsia" w:ascii="Times New Roman" w:hAnsi="Times New Roman" w:eastAsia="宋体" w:cs="Times New Roman"/>
                <w:color w:val="auto"/>
                <w:lang w:val="en-US" w:eastAsia="zh-CN"/>
              </w:rPr>
              <w:t xml:space="preserve">：领导 </w:t>
            </w:r>
            <w:r>
              <w:rPr>
                <w:rFonts w:hint="eastAsia"/>
                <w:color w:val="auto"/>
                <w:szCs w:val="21"/>
                <w:lang w:eastAsia="zh-CN"/>
              </w:rPr>
              <w:t>凌强</w:t>
            </w:r>
            <w:r>
              <w:rPr>
                <w:rFonts w:hint="eastAsia" w:ascii="Times New Roman" w:hAnsi="Times New Roman" w:eastAsia="宋体" w:cs="Times New Roman"/>
                <w:color w:val="auto"/>
                <w:lang w:val="en-US" w:eastAsia="zh-CN"/>
              </w:rPr>
              <w:t>，共</w:t>
            </w:r>
            <w:r>
              <w:rPr>
                <w:rFonts w:hint="eastAsia" w:cs="Times New Roman"/>
                <w:color w:val="auto"/>
                <w:lang w:val="en-US" w:eastAsia="zh-CN"/>
              </w:rPr>
              <w:t>2</w:t>
            </w:r>
            <w:r>
              <w:rPr>
                <w:rFonts w:hint="eastAsia" w:ascii="Times New Roman" w:hAnsi="Times New Roman" w:eastAsia="宋体" w:cs="Times New Roman"/>
                <w:color w:val="auto"/>
                <w:lang w:val="en-US" w:eastAsia="zh-CN"/>
              </w:rPr>
              <w:t>人，岗位设置：</w:t>
            </w:r>
            <w:r>
              <w:rPr>
                <w:rFonts w:hint="eastAsia" w:cs="Times New Roman"/>
                <w:color w:val="auto"/>
                <w:lang w:val="en-US" w:eastAsia="zh-CN"/>
              </w:rPr>
              <w:t>安全部</w:t>
            </w:r>
            <w:r>
              <w:rPr>
                <w:rFonts w:hint="eastAsia" w:ascii="Times New Roman" w:hAnsi="Times New Roman" w:eastAsia="宋体" w:cs="Times New Roman"/>
                <w:color w:val="auto"/>
                <w:lang w:val="en-US" w:eastAsia="zh-CN"/>
              </w:rPr>
              <w:t>经理、</w:t>
            </w:r>
            <w:r>
              <w:rPr>
                <w:rFonts w:hint="eastAsia" w:cs="Times New Roman"/>
                <w:color w:val="auto"/>
                <w:lang w:val="en-US" w:eastAsia="zh-CN"/>
              </w:rPr>
              <w:t>安全</w:t>
            </w:r>
            <w:r>
              <w:rPr>
                <w:rFonts w:hint="eastAsia" w:ascii="Times New Roman" w:hAnsi="Times New Roman" w:eastAsia="宋体" w:cs="Times New Roman"/>
                <w:color w:val="auto"/>
                <w:lang w:val="en-US" w:eastAsia="zh-CN"/>
              </w:rPr>
              <w:t>主管、</w:t>
            </w:r>
            <w:r>
              <w:rPr>
                <w:rFonts w:hint="eastAsia" w:cs="Times New Roman"/>
                <w:color w:val="auto"/>
                <w:lang w:val="en-US" w:eastAsia="zh-CN"/>
              </w:rPr>
              <w:t>安全</w:t>
            </w:r>
            <w:r>
              <w:rPr>
                <w:rFonts w:hint="eastAsia" w:ascii="Times New Roman" w:hAnsi="Times New Roman" w:eastAsia="宋体" w:cs="Times New Roman"/>
                <w:color w:val="auto"/>
                <w:lang w:val="en-US" w:eastAsia="zh-CN"/>
              </w:rPr>
              <w:t>专员。</w:t>
            </w:r>
          </w:p>
          <w:p>
            <w:pPr>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 </w:t>
            </w:r>
            <w:r>
              <w:rPr>
                <w:rFonts w:hint="eastAsia" w:cs="Times New Roman"/>
                <w:color w:val="auto"/>
                <w:lang w:val="en-US" w:eastAsia="zh-CN"/>
              </w:rPr>
              <w:t>安全部</w:t>
            </w:r>
            <w:r>
              <w:rPr>
                <w:rFonts w:hint="eastAsia" w:ascii="Times New Roman" w:hAnsi="Times New Roman" w:eastAsia="宋体" w:cs="Times New Roman"/>
                <w:color w:val="auto"/>
                <w:lang w:val="en-US" w:eastAsia="zh-CN"/>
              </w:rPr>
              <w:t xml:space="preserve">岗位职责：  </w:t>
            </w:r>
          </w:p>
          <w:p>
            <w:pPr>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（1）收集市场技术信息、研究开发产品新技术； </w:t>
            </w:r>
          </w:p>
          <w:p>
            <w:pPr>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（2）负责产品电气工艺、安装调试工艺及随机文件的编制； </w:t>
            </w:r>
          </w:p>
          <w:p>
            <w:pPr>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（3）组织设计评审、验证、确认； </w:t>
            </w:r>
          </w:p>
          <w:p>
            <w:pPr>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（4）组织项目鉴定，编制实施设计计划； </w:t>
            </w:r>
          </w:p>
          <w:p>
            <w:pPr>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（5）非标项目设计及技术交底； </w:t>
            </w:r>
          </w:p>
          <w:p>
            <w:pPr>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（6）为其他部门提供技术支持及职工技术培训； </w:t>
            </w:r>
          </w:p>
          <w:p>
            <w:pPr>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（7）技术文件、图纸的发放控制； </w:t>
            </w:r>
          </w:p>
          <w:p>
            <w:pPr>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（8）技术资料、文件的安全防范与管理； </w:t>
            </w:r>
          </w:p>
          <w:p>
            <w:pPr>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（9）参与供应商考察评定工作； </w:t>
            </w:r>
          </w:p>
          <w:p>
            <w:pPr>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（10）做好本部门 5S 和安全管理工作； </w:t>
            </w:r>
          </w:p>
          <w:p>
            <w:pPr>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（11）负责做好上级交办的其他工作。</w:t>
            </w:r>
          </w:p>
          <w:p>
            <w:pPr>
              <w:ind w:firstLine="42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（12）协助收集能源数据资料。</w:t>
            </w:r>
          </w:p>
          <w:p>
            <w:pPr>
              <w:ind w:firstLine="42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三、目标指标：</w:t>
            </w:r>
          </w:p>
          <w:p>
            <w:pPr>
              <w:ind w:firstLine="420" w:firstLineChars="200"/>
              <w:jc w:val="center"/>
              <w:rPr>
                <w:color w:val="auto"/>
              </w:rPr>
            </w:pPr>
            <w:r>
              <w:rPr>
                <w:color w:val="auto"/>
              </w:rPr>
              <w:drawing>
                <wp:inline distT="0" distB="0" distL="114300" distR="114300">
                  <wp:extent cx="3593465" cy="1152525"/>
                  <wp:effectExtent l="0" t="0" r="635" b="317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8"/>
                          <a:stretch>
                            <a:fillRect/>
                          </a:stretch>
                        </pic:blipFill>
                        <pic:spPr>
                          <a:xfrm>
                            <a:off x="0" y="0"/>
                            <a:ext cx="3593465" cy="1152525"/>
                          </a:xfrm>
                          <a:prstGeom prst="rect">
                            <a:avLst/>
                          </a:prstGeom>
                          <a:noFill/>
                          <a:ln>
                            <a:noFill/>
                          </a:ln>
                        </pic:spPr>
                      </pic:pic>
                    </a:graphicData>
                  </a:graphic>
                </wp:inline>
              </w:drawing>
            </w:r>
          </w:p>
          <w:p>
            <w:pPr>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查阅2021年1-12月、2022年1-</w:t>
            </w:r>
            <w:r>
              <w:rPr>
                <w:rFonts w:hint="eastAsia" w:cs="Times New Roman"/>
                <w:color w:val="auto"/>
                <w:lang w:val="en-US" w:eastAsia="zh-CN"/>
              </w:rPr>
              <w:t>8</w:t>
            </w:r>
            <w:r>
              <w:rPr>
                <w:rFonts w:hint="eastAsia" w:ascii="Times New Roman" w:hAnsi="Times New Roman" w:eastAsia="宋体" w:cs="Times New Roman"/>
                <w:color w:val="auto"/>
                <w:lang w:val="en-US" w:eastAsia="zh-CN"/>
              </w:rPr>
              <w:t>月的考核全部完成。</w:t>
            </w:r>
          </w:p>
          <w:p>
            <w:pPr>
              <w:ind w:firstLine="420" w:firstLineChars="200"/>
              <w:rPr>
                <w:rFonts w:hint="eastAsia" w:ascii="Times New Roman" w:hAnsi="Times New Roman" w:eastAsia="宋体" w:cs="Times New Roman"/>
                <w:color w:val="auto"/>
                <w:lang w:val="en-US" w:eastAsia="zh-CN"/>
              </w:rPr>
            </w:pPr>
          </w:p>
        </w:tc>
        <w:tc>
          <w:tcPr>
            <w:tcW w:w="1417" w:type="dxa"/>
          </w:tcPr>
          <w:p>
            <w:pPr>
              <w:rPr>
                <w:rFonts w:hint="eastAsia" w:eastAsia="宋体"/>
                <w:color w:val="auto"/>
                <w:lang w:val="en-US" w:eastAsia="zh-CN"/>
              </w:rPr>
            </w:pPr>
            <w:r>
              <w:rPr>
                <w:rFonts w:hint="eastAsia"/>
                <w:color w:val="auto"/>
                <w:lang w:val="en-US" w:eastAsia="zh-CN"/>
              </w:rPr>
              <w:t>Y</w:t>
            </w:r>
          </w:p>
          <w:p>
            <w:pPr>
              <w:rPr>
                <w:color w:val="auto"/>
              </w:rPr>
            </w:pPr>
          </w:p>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trPr>
        <w:tc>
          <w:tcPr>
            <w:tcW w:w="2160" w:type="dxa"/>
          </w:tcPr>
          <w:p>
            <w:pPr>
              <w:numPr>
                <w:ilvl w:val="0"/>
                <w:numId w:val="0"/>
              </w:numPr>
              <w:rPr>
                <w:rFonts w:hint="eastAsia"/>
                <w:color w:val="auto"/>
                <w:lang w:val="en-US" w:eastAsia="zh-CN"/>
              </w:rPr>
            </w:pPr>
            <w:r>
              <w:rPr>
                <w:rFonts w:hint="eastAsia"/>
                <w:color w:val="auto"/>
                <w:lang w:val="en-US" w:eastAsia="zh-CN"/>
              </w:rPr>
              <w:t>3.运行控制</w:t>
            </w:r>
          </w:p>
          <w:p>
            <w:pPr>
              <w:pStyle w:val="2"/>
              <w:numPr>
                <w:ilvl w:val="0"/>
                <w:numId w:val="0"/>
              </w:numPr>
              <w:rPr>
                <w:color w:val="auto"/>
              </w:rPr>
            </w:pPr>
            <w:r>
              <w:rPr>
                <w:rFonts w:hint="eastAsia"/>
                <w:color w:val="auto"/>
                <w:lang w:val="en-US" w:eastAsia="zh-CN"/>
              </w:rPr>
              <w:t>4.不符合与纠正措施</w:t>
            </w:r>
          </w:p>
        </w:tc>
        <w:tc>
          <w:tcPr>
            <w:tcW w:w="960" w:type="dxa"/>
          </w:tcPr>
          <w:p>
            <w:pPr>
              <w:rPr>
                <w:rFonts w:hint="eastAsia"/>
                <w:color w:val="auto"/>
                <w:lang w:val="en-US" w:eastAsia="zh-CN"/>
              </w:rPr>
            </w:pPr>
            <w:r>
              <w:rPr>
                <w:rFonts w:hint="eastAsia"/>
                <w:color w:val="auto"/>
              </w:rPr>
              <w:t>8.1</w:t>
            </w:r>
            <w:r>
              <w:rPr>
                <w:rFonts w:hint="eastAsia"/>
                <w:color w:val="auto"/>
                <w:lang w:val="en-US" w:eastAsia="zh-CN"/>
              </w:rPr>
              <w:t>/</w:t>
            </w:r>
          </w:p>
          <w:p>
            <w:pPr>
              <w:rPr>
                <w:rFonts w:hint="default"/>
                <w:color w:val="auto"/>
                <w:lang w:val="en-US" w:eastAsia="zh-CN"/>
              </w:rPr>
            </w:pPr>
            <w:r>
              <w:rPr>
                <w:rFonts w:hint="eastAsia"/>
                <w:color w:val="auto"/>
                <w:lang w:val="en-US" w:eastAsia="zh-CN"/>
              </w:rPr>
              <w:t>10.1</w:t>
            </w:r>
          </w:p>
        </w:tc>
        <w:tc>
          <w:tcPr>
            <w:tcW w:w="11022" w:type="dxa"/>
          </w:tcPr>
          <w:p>
            <w:pPr>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1、提供《JXNHBA/QP-11体系运行控制程序》《JXNHBA/QP-12</w:t>
            </w:r>
            <w:r>
              <w:rPr>
                <w:rFonts w:hint="eastAsia" w:ascii="Times New Roman" w:hAnsi="Times New Roman" w:eastAsia="宋体" w:cs="Times New Roman"/>
                <w:color w:val="auto"/>
                <w:lang w:val="en-US" w:eastAsia="zh-CN"/>
              </w:rPr>
              <w:tab/>
            </w:r>
            <w:r>
              <w:rPr>
                <w:rFonts w:hint="eastAsia" w:ascii="Times New Roman" w:hAnsi="Times New Roman" w:eastAsia="宋体" w:cs="Times New Roman"/>
                <w:color w:val="auto"/>
                <w:lang w:val="en-US" w:eastAsia="zh-CN"/>
              </w:rPr>
              <w:t>用能设备的使用、维护和处置程序》《JXNHBA/QP-22</w:t>
            </w:r>
            <w:r>
              <w:rPr>
                <w:rFonts w:hint="eastAsia" w:ascii="Times New Roman" w:hAnsi="Times New Roman" w:eastAsia="宋体" w:cs="Times New Roman"/>
                <w:color w:val="auto"/>
                <w:lang w:val="en-US" w:eastAsia="zh-CN"/>
              </w:rPr>
              <w:tab/>
            </w:r>
            <w:r>
              <w:rPr>
                <w:rFonts w:hint="eastAsia" w:ascii="Times New Roman" w:hAnsi="Times New Roman" w:eastAsia="宋体" w:cs="Times New Roman"/>
                <w:color w:val="auto"/>
                <w:lang w:val="en-US" w:eastAsia="zh-CN"/>
              </w:rPr>
              <w:t>不符合、纠正、改进措施程序》</w:t>
            </w:r>
            <w:r>
              <w:rPr>
                <w:rFonts w:hint="eastAsia" w:cs="Times New Roman"/>
                <w:color w:val="auto"/>
                <w:lang w:val="en-US" w:eastAsia="zh-CN"/>
              </w:rPr>
              <w:t>《保安基本工作规范》《门卫保安工作规范》《楼区保安工作规范》《场地保安工作规范》《巡逻保安工作规范》《监控保安工作规范》《随身护卫保安工作规范》《人群控制服务工作规范》《应急演练规范》《保安服务监督控制规范》《不合格服务控制规范》《6S管理规范》《节能管理规范》《值班管理规范》《安全管理规范》《应急管理规范》《公司微信公众号管理办法》《办公自动化系统使用管理规范》信息安全规范《》《计算机网络、机房管理办法》</w:t>
            </w:r>
            <w:r>
              <w:rPr>
                <w:rFonts w:hint="eastAsia" w:ascii="Times New Roman" w:hAnsi="Times New Roman" w:eastAsia="宋体" w:cs="Times New Roman"/>
                <w:color w:val="auto"/>
                <w:lang w:val="en-US" w:eastAsia="zh-CN"/>
              </w:rPr>
              <w:t>等，有编审批，符合要求。</w:t>
            </w:r>
          </w:p>
          <w:p>
            <w:pPr>
              <w:ind w:firstLine="42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本部门要求员工照明灯不用时及时将电源关闭， 电脑不使用时及时将电源关闭，电脑设置休眠功能， 夏天空调设置</w:t>
            </w:r>
            <w:r>
              <w:rPr>
                <w:rFonts w:hint="eastAsia" w:ascii="Times New Roman" w:hAnsi="Times New Roman" w:eastAsia="宋体" w:cs="Times New Roman"/>
                <w:color w:val="auto"/>
                <w:lang w:val="en-US" w:eastAsia="zh-CN"/>
              </w:rPr>
              <w:t>摄氏</w:t>
            </w:r>
            <w:r>
              <w:rPr>
                <w:rFonts w:hint="default" w:ascii="Times New Roman" w:hAnsi="Times New Roman" w:eastAsia="宋体" w:cs="Times New Roman"/>
                <w:color w:val="auto"/>
                <w:lang w:val="en-US" w:eastAsia="zh-CN"/>
              </w:rPr>
              <w:t>26度以上。办公区张贴节约用电和节约用水的宣传标识。能够做到人走灯息。</w:t>
            </w:r>
          </w:p>
          <w:p>
            <w:pPr>
              <w:ind w:firstLine="42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r>
              <w:rPr>
                <w:rFonts w:hint="eastAsia" w:eastAsia="宋体" w:cs="Times New Roman"/>
                <w:color w:val="auto"/>
                <w:lang w:val="en-US" w:eastAsia="zh-CN"/>
              </w:rPr>
              <w:t>查阅</w:t>
            </w:r>
            <w:r>
              <w:rPr>
                <w:rFonts w:hint="eastAsia" w:cs="Times New Roman"/>
                <w:color w:val="auto"/>
                <w:lang w:val="en-US" w:eastAsia="zh-CN"/>
              </w:rPr>
              <w:t>相关</w:t>
            </w:r>
            <w:r>
              <w:rPr>
                <w:rFonts w:hint="eastAsia" w:eastAsia="宋体" w:cs="Times New Roman"/>
                <w:color w:val="auto"/>
                <w:lang w:val="en-US" w:eastAsia="zh-CN"/>
              </w:rPr>
              <w:t>记录：</w:t>
            </w:r>
          </w:p>
          <w:p>
            <w:pPr>
              <w:pStyle w:val="2"/>
              <w:rPr>
                <w:rFonts w:hint="default" w:ascii="Times New Roman" w:hAnsi="Times New Roman" w:eastAsia="宋体" w:cs="Times New Roman"/>
                <w:bCs w:val="0"/>
                <w:color w:val="auto"/>
                <w:spacing w:val="0"/>
                <w:kern w:val="2"/>
                <w:sz w:val="21"/>
                <w:lang w:val="en-US" w:eastAsia="zh-CN" w:bidi="ar-SA"/>
              </w:rPr>
            </w:pPr>
            <w:r>
              <w:rPr>
                <w:rFonts w:hint="eastAsia" w:cs="Times New Roman"/>
                <w:color w:val="auto"/>
                <w:lang w:val="en-US" w:eastAsia="zh-CN"/>
              </w:rPr>
              <w:t xml:space="preserve">   </w:t>
            </w:r>
            <w:r>
              <w:rPr>
                <w:rFonts w:hint="eastAsia" w:ascii="Times New Roman" w:hAnsi="Times New Roman" w:eastAsia="宋体" w:cs="Times New Roman"/>
                <w:bCs w:val="0"/>
                <w:color w:val="auto"/>
                <w:spacing w:val="0"/>
                <w:kern w:val="2"/>
                <w:sz w:val="21"/>
                <w:lang w:val="en-US" w:eastAsia="zh-CN" w:bidi="ar-SA"/>
              </w:rPr>
              <w:t>（1）近三个月内项目日常运行记录的照片，如（保洁消杀记录、门卫登记记录、交接班记录、夜班巡逻记录、项目维修记录)等等：分别3份</w:t>
            </w:r>
            <w:r>
              <w:rPr>
                <w:rFonts w:hint="eastAsia" w:cs="Times New Roman"/>
                <w:bCs w:val="0"/>
                <w:color w:val="auto"/>
                <w:spacing w:val="0"/>
                <w:kern w:val="2"/>
                <w:sz w:val="21"/>
                <w:lang w:val="en-US" w:eastAsia="zh-CN" w:bidi="ar-SA"/>
              </w:rPr>
              <w:t>。还有</w:t>
            </w:r>
            <w:r>
              <w:rPr>
                <w:rFonts w:hint="eastAsia" w:cs="Times New Roman"/>
                <w:color w:val="auto"/>
                <w:lang w:val="en-US" w:eastAsia="zh-CN"/>
              </w:rPr>
              <w:t>f监控设备巡察表、g电梯维保记录。符合要求。</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a</w:t>
            </w:r>
            <w:r>
              <w:rPr>
                <w:rFonts w:hint="eastAsia" w:ascii="Times New Roman" w:hAnsi="Times New Roman" w:eastAsia="宋体" w:cs="Times New Roman"/>
                <w:color w:val="auto"/>
                <w:lang w:val="en-US" w:eastAsia="zh-CN"/>
              </w:rPr>
              <w:t>、保洁消杀记录</w:t>
            </w:r>
            <w:r>
              <w:rPr>
                <w:rFonts w:hint="eastAsia" w:cs="Times New Roman"/>
                <w:color w:val="auto"/>
                <w:lang w:val="en-US" w:eastAsia="zh-CN"/>
              </w:rPr>
              <w:t>、b、门卫登记记录</w:t>
            </w:r>
          </w:p>
          <w:p>
            <w:pPr>
              <w:jc w:val="center"/>
              <w:rPr>
                <w:rFonts w:hint="eastAsia" w:ascii="Times New Roman" w:hAnsi="Times New Roman" w:eastAsia="宋体" w:cs="Times New Roman"/>
                <w:color w:val="auto"/>
                <w:lang w:val="en-US" w:eastAsia="zh-CN"/>
              </w:rPr>
            </w:pPr>
            <w:r>
              <w:rPr>
                <w:color w:val="auto"/>
              </w:rPr>
              <w:drawing>
                <wp:inline distT="0" distB="0" distL="114300" distR="114300">
                  <wp:extent cx="2107565" cy="2034540"/>
                  <wp:effectExtent l="0" t="0" r="635"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2107565" cy="2034540"/>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004060" cy="2029460"/>
                  <wp:effectExtent l="0" t="0" r="2540" b="25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2004060" cy="2029460"/>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071370" cy="2021205"/>
                  <wp:effectExtent l="0" t="0" r="11430" b="1079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2071370" cy="2021205"/>
                          </a:xfrm>
                          <a:prstGeom prst="rect">
                            <a:avLst/>
                          </a:prstGeom>
                          <a:noFill/>
                          <a:ln>
                            <a:noFill/>
                          </a:ln>
                        </pic:spPr>
                      </pic:pic>
                    </a:graphicData>
                  </a:graphic>
                </wp:inline>
              </w:drawing>
            </w:r>
          </w:p>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c安全防范巡逻记录</w:t>
            </w:r>
          </w:p>
          <w:p>
            <w:pPr>
              <w:jc w:val="center"/>
              <w:rPr>
                <w:rFonts w:hint="eastAsia" w:ascii="Times New Roman" w:hAnsi="Times New Roman" w:eastAsia="宋体" w:cs="Times New Roman"/>
                <w:color w:val="auto"/>
                <w:lang w:val="en-US" w:eastAsia="zh-CN"/>
              </w:rPr>
            </w:pPr>
            <w:r>
              <w:rPr>
                <w:color w:val="auto"/>
              </w:rPr>
              <w:drawing>
                <wp:inline distT="0" distB="0" distL="114300" distR="114300">
                  <wp:extent cx="1456690" cy="2050415"/>
                  <wp:effectExtent l="0" t="0" r="3810" b="698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1456690" cy="205041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1390650" cy="2037715"/>
                  <wp:effectExtent l="0" t="0" r="6350" b="698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stretch>
                            <a:fillRect/>
                          </a:stretch>
                        </pic:blipFill>
                        <pic:spPr>
                          <a:xfrm>
                            <a:off x="0" y="0"/>
                            <a:ext cx="1390650" cy="203771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1657350" cy="2012315"/>
                  <wp:effectExtent l="0" t="0" r="6350" b="698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tretch>
                            <a:fillRect/>
                          </a:stretch>
                        </pic:blipFill>
                        <pic:spPr>
                          <a:xfrm>
                            <a:off x="0" y="0"/>
                            <a:ext cx="1657350" cy="2012315"/>
                          </a:xfrm>
                          <a:prstGeom prst="rect">
                            <a:avLst/>
                          </a:prstGeom>
                          <a:noFill/>
                          <a:ln>
                            <a:noFill/>
                          </a:ln>
                        </pic:spPr>
                      </pic:pic>
                    </a:graphicData>
                  </a:graphic>
                </wp:inline>
              </w:drawing>
            </w:r>
          </w:p>
          <w:p>
            <w:pPr>
              <w:jc w:val="center"/>
              <w:rPr>
                <w:rFonts w:hint="eastAsia" w:cs="Times New Roman"/>
                <w:color w:val="auto"/>
                <w:lang w:val="en-US" w:eastAsia="zh-CN"/>
              </w:rPr>
            </w:pPr>
          </w:p>
          <w:p>
            <w:pPr>
              <w:jc w:val="center"/>
              <w:rPr>
                <w:rFonts w:hint="eastAsia" w:cs="Times New Roman"/>
                <w:color w:val="auto"/>
                <w:lang w:val="en-US" w:eastAsia="zh-CN"/>
              </w:rPr>
            </w:pPr>
          </w:p>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d夜班巡逻记录</w:t>
            </w:r>
          </w:p>
          <w:p>
            <w:pPr>
              <w:jc w:val="center"/>
              <w:rPr>
                <w:rFonts w:hint="eastAsia" w:ascii="Times New Roman" w:hAnsi="Times New Roman" w:eastAsia="宋体" w:cs="Times New Roman"/>
                <w:color w:val="auto"/>
                <w:lang w:val="en-US" w:eastAsia="zh-CN"/>
              </w:rPr>
            </w:pPr>
            <w:r>
              <w:rPr>
                <w:color w:val="auto"/>
              </w:rPr>
              <w:drawing>
                <wp:inline distT="0" distB="0" distL="114300" distR="114300">
                  <wp:extent cx="2149475" cy="2334260"/>
                  <wp:effectExtent l="0" t="0" r="9525" b="254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5"/>
                          <a:stretch>
                            <a:fillRect/>
                          </a:stretch>
                        </pic:blipFill>
                        <pic:spPr>
                          <a:xfrm>
                            <a:off x="0" y="0"/>
                            <a:ext cx="2149475" cy="2334260"/>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223770" cy="2320290"/>
                  <wp:effectExtent l="0" t="0" r="11430" b="381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6"/>
                          <a:stretch>
                            <a:fillRect/>
                          </a:stretch>
                        </pic:blipFill>
                        <pic:spPr>
                          <a:xfrm>
                            <a:off x="0" y="0"/>
                            <a:ext cx="2223770" cy="2320290"/>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116455" cy="2202180"/>
                  <wp:effectExtent l="0" t="0" r="4445" b="762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7"/>
                          <a:stretch>
                            <a:fillRect/>
                          </a:stretch>
                        </pic:blipFill>
                        <pic:spPr>
                          <a:xfrm>
                            <a:off x="0" y="0"/>
                            <a:ext cx="2116455" cy="2202180"/>
                          </a:xfrm>
                          <a:prstGeom prst="rect">
                            <a:avLst/>
                          </a:prstGeom>
                          <a:noFill/>
                          <a:ln>
                            <a:noFill/>
                          </a:ln>
                        </pic:spPr>
                      </pic:pic>
                    </a:graphicData>
                  </a:graphic>
                </wp:inline>
              </w:drawing>
            </w:r>
          </w:p>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e项目维修记录</w:t>
            </w:r>
          </w:p>
          <w:p>
            <w:pPr>
              <w:jc w:val="center"/>
              <w:rPr>
                <w:rFonts w:hint="eastAsia" w:ascii="Times New Roman" w:hAnsi="Times New Roman" w:eastAsia="宋体" w:cs="Times New Roman"/>
                <w:color w:val="auto"/>
                <w:lang w:val="en-US" w:eastAsia="zh-CN"/>
              </w:rPr>
            </w:pPr>
            <w:r>
              <w:rPr>
                <w:color w:val="auto"/>
              </w:rPr>
              <w:drawing>
                <wp:inline distT="0" distB="0" distL="114300" distR="114300">
                  <wp:extent cx="1816735" cy="2442845"/>
                  <wp:effectExtent l="0" t="0" r="12065" b="825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8"/>
                          <a:stretch>
                            <a:fillRect/>
                          </a:stretch>
                        </pic:blipFill>
                        <pic:spPr>
                          <a:xfrm>
                            <a:off x="0" y="0"/>
                            <a:ext cx="1816735" cy="244284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533015" cy="2463165"/>
                  <wp:effectExtent l="0" t="0" r="6985" b="63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9"/>
                          <a:stretch>
                            <a:fillRect/>
                          </a:stretch>
                        </pic:blipFill>
                        <pic:spPr>
                          <a:xfrm>
                            <a:off x="0" y="0"/>
                            <a:ext cx="2533015" cy="246316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1931035" cy="2529840"/>
                  <wp:effectExtent l="0" t="0" r="12065" b="1016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0"/>
                          <a:stretch>
                            <a:fillRect/>
                          </a:stretch>
                        </pic:blipFill>
                        <pic:spPr>
                          <a:xfrm>
                            <a:off x="0" y="0"/>
                            <a:ext cx="1931035" cy="2529840"/>
                          </a:xfrm>
                          <a:prstGeom prst="rect">
                            <a:avLst/>
                          </a:prstGeom>
                          <a:noFill/>
                          <a:ln>
                            <a:noFill/>
                          </a:ln>
                        </pic:spPr>
                      </pic:pic>
                    </a:graphicData>
                  </a:graphic>
                </wp:inline>
              </w:drawing>
            </w:r>
          </w:p>
          <w:p>
            <w:pPr>
              <w:jc w:val="center"/>
              <w:rPr>
                <w:rFonts w:hint="eastAsia" w:cs="Times New Roman"/>
                <w:color w:val="auto"/>
                <w:lang w:val="en-US" w:eastAsia="zh-CN"/>
              </w:rPr>
            </w:pPr>
          </w:p>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f监控设备巡察表</w:t>
            </w:r>
          </w:p>
          <w:p>
            <w:pPr>
              <w:jc w:val="center"/>
              <w:rPr>
                <w:rFonts w:hint="default" w:ascii="Times New Roman" w:hAnsi="Times New Roman" w:eastAsia="宋体" w:cs="Times New Roman"/>
                <w:color w:val="auto"/>
                <w:lang w:val="en-US" w:eastAsia="zh-CN"/>
              </w:rPr>
            </w:pPr>
            <w:r>
              <w:rPr>
                <w:color w:val="auto"/>
              </w:rPr>
              <w:drawing>
                <wp:inline distT="0" distB="0" distL="114300" distR="114300">
                  <wp:extent cx="3415665" cy="2014855"/>
                  <wp:effectExtent l="0" t="0" r="635" b="444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1"/>
                          <a:stretch>
                            <a:fillRect/>
                          </a:stretch>
                        </pic:blipFill>
                        <pic:spPr>
                          <a:xfrm>
                            <a:off x="0" y="0"/>
                            <a:ext cx="3415665" cy="2014855"/>
                          </a:xfrm>
                          <a:prstGeom prst="rect">
                            <a:avLst/>
                          </a:prstGeom>
                          <a:noFill/>
                          <a:ln>
                            <a:noFill/>
                          </a:ln>
                        </pic:spPr>
                      </pic:pic>
                    </a:graphicData>
                  </a:graphic>
                </wp:inline>
              </w:drawing>
            </w:r>
          </w:p>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g电梯维保记录</w:t>
            </w:r>
          </w:p>
          <w:p>
            <w:pPr>
              <w:jc w:val="center"/>
              <w:rPr>
                <w:rFonts w:hint="eastAsia" w:ascii="Times New Roman" w:hAnsi="Times New Roman" w:eastAsia="宋体" w:cs="Times New Roman"/>
                <w:color w:val="auto"/>
                <w:lang w:val="en-US" w:eastAsia="zh-CN"/>
              </w:rPr>
            </w:pPr>
            <w:r>
              <w:rPr>
                <w:color w:val="auto"/>
              </w:rPr>
              <w:drawing>
                <wp:inline distT="0" distB="0" distL="114300" distR="114300">
                  <wp:extent cx="2379980" cy="2686685"/>
                  <wp:effectExtent l="0" t="0" r="7620" b="571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2"/>
                          <a:stretch>
                            <a:fillRect/>
                          </a:stretch>
                        </pic:blipFill>
                        <pic:spPr>
                          <a:xfrm>
                            <a:off x="0" y="0"/>
                            <a:ext cx="2379980" cy="268668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530475" cy="2696210"/>
                  <wp:effectExtent l="0" t="0" r="9525" b="889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3"/>
                          <a:stretch>
                            <a:fillRect/>
                          </a:stretch>
                        </pic:blipFill>
                        <pic:spPr>
                          <a:xfrm>
                            <a:off x="0" y="0"/>
                            <a:ext cx="2530475" cy="2696210"/>
                          </a:xfrm>
                          <a:prstGeom prst="rect">
                            <a:avLst/>
                          </a:prstGeom>
                          <a:noFill/>
                          <a:ln>
                            <a:noFill/>
                          </a:ln>
                        </pic:spPr>
                      </pic:pic>
                    </a:graphicData>
                  </a:graphic>
                </wp:inline>
              </w:drawing>
            </w:r>
          </w:p>
          <w:p>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自公司能源体系运行以来，本部门未发生不符合。</w:t>
            </w:r>
          </w:p>
        </w:tc>
        <w:tc>
          <w:tcPr>
            <w:tcW w:w="1417" w:type="dxa"/>
          </w:tcPr>
          <w:p>
            <w:pPr>
              <w:rPr>
                <w:rFonts w:hint="eastAsia" w:eastAsia="宋体"/>
                <w:color w:val="auto"/>
                <w:lang w:val="en-US" w:eastAsia="zh-CN"/>
              </w:rPr>
            </w:pPr>
            <w:r>
              <w:rPr>
                <w:rFonts w:hint="eastAsia"/>
                <w:color w:val="auto"/>
                <w:lang w:val="en-US" w:eastAsia="zh-CN"/>
              </w:rPr>
              <w:t>Y</w:t>
            </w:r>
          </w:p>
        </w:tc>
      </w:tr>
    </w:tbl>
    <w:p>
      <w:pPr>
        <w:rPr>
          <w:color w:val="auto"/>
        </w:rPr>
      </w:pPr>
      <w:r>
        <w:rPr>
          <w:rFonts w:hint="eastAsia"/>
          <w:color w:val="auto"/>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76"/>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160"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过程与活动、</w:t>
            </w:r>
          </w:p>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抽样计划</w:t>
            </w:r>
          </w:p>
        </w:tc>
        <w:tc>
          <w:tcPr>
            <w:tcW w:w="960"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涉及</w:t>
            </w:r>
          </w:p>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条款</w:t>
            </w:r>
          </w:p>
        </w:tc>
        <w:tc>
          <w:tcPr>
            <w:tcW w:w="10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jc w:val="left"/>
              <w:textAlignment w:val="auto"/>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rPr>
              <w:t>受审核部门：</w:t>
            </w:r>
            <w:r>
              <w:rPr>
                <w:rFonts w:hint="eastAsia" w:ascii="宋体" w:hAnsi="宋体" w:cs="Times New Roman"/>
                <w:color w:val="auto"/>
                <w:sz w:val="21"/>
                <w:szCs w:val="21"/>
                <w:lang w:val="en-US" w:eastAsia="zh-CN"/>
              </w:rPr>
              <w:t>财务部</w:t>
            </w:r>
            <w:r>
              <w:rPr>
                <w:rFonts w:hint="eastAsia" w:ascii="宋体" w:hAnsi="宋体" w:eastAsia="宋体" w:cs="Times New Roman"/>
                <w:color w:val="auto"/>
                <w:sz w:val="21"/>
                <w:szCs w:val="21"/>
              </w:rPr>
              <w:t xml:space="preserve">   主管领导：</w:t>
            </w:r>
            <w:r>
              <w:rPr>
                <w:rFonts w:hint="eastAsia" w:ascii="宋体" w:hAnsi="宋体" w:cs="Times New Roman"/>
                <w:color w:val="auto"/>
                <w:sz w:val="21"/>
                <w:szCs w:val="21"/>
                <w:lang w:val="en-US" w:eastAsia="zh-CN"/>
              </w:rPr>
              <w:t>王丽娟</w:t>
            </w:r>
            <w:r>
              <w:rPr>
                <w:rFonts w:hint="eastAsia" w:ascii="宋体" w:hAnsi="宋体" w:eastAsia="宋体" w:cs="Times New Roman"/>
                <w:color w:val="auto"/>
                <w:sz w:val="21"/>
                <w:szCs w:val="21"/>
              </w:rPr>
              <w:t xml:space="preserve">    </w:t>
            </w:r>
            <w:r>
              <w:rPr>
                <w:rFonts w:hint="eastAsia"/>
                <w:color w:val="auto"/>
                <w:szCs w:val="21"/>
              </w:rPr>
              <w:t xml:space="preserve">陪同人员： </w:t>
            </w:r>
            <w:r>
              <w:rPr>
                <w:rFonts w:hint="eastAsia"/>
                <w:color w:val="auto"/>
                <w:szCs w:val="21"/>
                <w:lang w:val="en-US" w:eastAsia="zh-CN"/>
              </w:rPr>
              <w:t>张玲</w:t>
            </w:r>
          </w:p>
        </w:tc>
        <w:tc>
          <w:tcPr>
            <w:tcW w:w="1213" w:type="dxa"/>
            <w:vMerge w:val="restart"/>
            <w:vAlign w:val="center"/>
          </w:tcPr>
          <w:p>
            <w:pPr>
              <w:jc w:val="center"/>
              <w:rPr>
                <w:color w:val="auto"/>
                <w:sz w:val="24"/>
                <w:szCs w:val="24"/>
              </w:rPr>
            </w:pPr>
            <w:r>
              <w:rPr>
                <w:rFonts w:hint="eastAsia" w:ascii="宋体" w:hAnsi="宋体" w:eastAsia="宋体" w:cs="Times New Roman"/>
                <w:color w:val="auto"/>
                <w:sz w:val="21"/>
                <w:szCs w:val="21"/>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jc w:val="left"/>
              <w:textAlignment w:val="auto"/>
              <w:rPr>
                <w:rFonts w:hint="eastAsia" w:ascii="宋体" w:hAnsi="宋体" w:eastAsia="宋体" w:cs="Times New Roman"/>
                <w:color w:val="auto"/>
                <w:sz w:val="21"/>
                <w:szCs w:val="21"/>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jc w:val="left"/>
              <w:textAlignment w:val="auto"/>
              <w:rPr>
                <w:rFonts w:hint="eastAsia" w:ascii="宋体" w:hAnsi="宋体" w:eastAsia="宋体" w:cs="Times New Roman"/>
                <w:color w:val="auto"/>
                <w:sz w:val="21"/>
                <w:szCs w:val="21"/>
              </w:rPr>
            </w:pPr>
          </w:p>
        </w:tc>
        <w:tc>
          <w:tcPr>
            <w:tcW w:w="10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jc w:val="left"/>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rPr>
              <w:t>审核员：</w:t>
            </w:r>
            <w:r>
              <w:rPr>
                <w:rFonts w:hint="eastAsia" w:ascii="宋体" w:hAnsi="宋体" w:eastAsia="宋体" w:cs="Times New Roman"/>
                <w:color w:val="auto"/>
                <w:sz w:val="21"/>
                <w:szCs w:val="21"/>
                <w:lang w:val="en-US" w:eastAsia="zh-CN"/>
              </w:rPr>
              <w:t>王宁敏</w:t>
            </w:r>
            <w:r>
              <w:rPr>
                <w:rFonts w:hint="eastAsia"/>
                <w:color w:val="auto"/>
                <w:sz w:val="21"/>
                <w:szCs w:val="21"/>
                <w:lang w:eastAsia="zh-CN"/>
              </w:rPr>
              <w:t>（远程</w:t>
            </w:r>
            <w:r>
              <w:rPr>
                <w:rFonts w:hint="eastAsia"/>
                <w:color w:val="auto"/>
                <w:sz w:val="21"/>
                <w:szCs w:val="21"/>
                <w:lang w:val="en-US" w:eastAsia="zh-CN"/>
              </w:rPr>
              <w:t>-腾讯会议、</w:t>
            </w:r>
            <w:r>
              <w:rPr>
                <w:rFonts w:hint="eastAsia"/>
                <w:color w:val="auto"/>
                <w:sz w:val="21"/>
                <w:szCs w:val="21"/>
                <w:lang w:eastAsia="zh-CN"/>
              </w:rPr>
              <w:t>微信群、电话、视频等）</w:t>
            </w:r>
            <w:r>
              <w:rPr>
                <w:rFonts w:hint="eastAsia" w:ascii="宋体" w:hAnsi="宋体" w:eastAsia="宋体" w:cs="Times New Roman"/>
                <w:color w:val="auto"/>
                <w:sz w:val="21"/>
                <w:szCs w:val="21"/>
              </w:rPr>
              <w:t>审核时间：</w:t>
            </w:r>
            <w:r>
              <w:rPr>
                <w:rFonts w:hint="eastAsia" w:ascii="宋体" w:hAnsi="宋体" w:eastAsia="宋体" w:cs="Times New Roman"/>
                <w:color w:val="auto"/>
                <w:sz w:val="21"/>
                <w:szCs w:val="21"/>
                <w:lang w:val="en-US" w:eastAsia="zh-CN"/>
              </w:rPr>
              <w:t>202</w:t>
            </w:r>
            <w:r>
              <w:rPr>
                <w:rFonts w:hint="eastAsia" w:ascii="宋体" w:hAnsi="宋体" w:cs="Times New Roman"/>
                <w:color w:val="auto"/>
                <w:sz w:val="21"/>
                <w:szCs w:val="21"/>
                <w:lang w:val="en-US" w:eastAsia="zh-CN"/>
              </w:rPr>
              <w:t>2</w:t>
            </w:r>
            <w:r>
              <w:rPr>
                <w:rFonts w:hint="eastAsia" w:ascii="宋体" w:hAnsi="宋体" w:eastAsia="宋体" w:cs="Times New Roman"/>
                <w:color w:val="auto"/>
                <w:sz w:val="21"/>
                <w:szCs w:val="21"/>
                <w:lang w:val="en-US" w:eastAsia="zh-CN"/>
              </w:rPr>
              <w:t>-</w:t>
            </w:r>
            <w:r>
              <w:rPr>
                <w:rFonts w:hint="eastAsia" w:ascii="宋体" w:hAnsi="宋体" w:cs="Times New Roman"/>
                <w:color w:val="auto"/>
                <w:sz w:val="21"/>
                <w:szCs w:val="21"/>
                <w:lang w:val="en-US" w:eastAsia="zh-CN"/>
              </w:rPr>
              <w:t>9</w:t>
            </w:r>
            <w:r>
              <w:rPr>
                <w:rFonts w:hint="eastAsia" w:ascii="宋体" w:hAnsi="宋体" w:eastAsia="宋体" w:cs="Times New Roman"/>
                <w:color w:val="auto"/>
                <w:sz w:val="21"/>
                <w:szCs w:val="21"/>
                <w:lang w:val="en-US" w:eastAsia="zh-CN"/>
              </w:rPr>
              <w:t>-</w:t>
            </w:r>
            <w:r>
              <w:rPr>
                <w:rFonts w:hint="eastAsia" w:ascii="宋体" w:hAnsi="宋体" w:cs="Times New Roman"/>
                <w:color w:val="auto"/>
                <w:sz w:val="21"/>
                <w:szCs w:val="21"/>
                <w:lang w:val="en-US" w:eastAsia="zh-CN"/>
              </w:rPr>
              <w:t>29</w:t>
            </w:r>
            <w:r>
              <w:rPr>
                <w:rFonts w:hint="eastAsia" w:ascii="宋体" w:hAnsi="宋体" w:eastAsia="宋体" w:cs="Times New Roman"/>
                <w:color w:val="auto"/>
                <w:sz w:val="21"/>
                <w:szCs w:val="21"/>
                <w:lang w:val="en-US" w:eastAsia="zh-CN"/>
              </w:rPr>
              <w:t xml:space="preserve">  </w:t>
            </w:r>
            <w:r>
              <w:rPr>
                <w:rFonts w:hint="eastAsia" w:ascii="宋体" w:hAnsi="宋体" w:cs="Times New Roman"/>
                <w:color w:val="auto"/>
                <w:sz w:val="21"/>
                <w:szCs w:val="21"/>
                <w:lang w:val="en-US" w:eastAsia="zh-CN"/>
              </w:rPr>
              <w:t>8:00-17:00</w:t>
            </w:r>
            <w:r>
              <w:rPr>
                <w:rFonts w:hint="eastAsia" w:ascii="宋体" w:hAnsi="宋体"/>
                <w:b/>
                <w:bCs/>
                <w:color w:val="auto"/>
                <w:sz w:val="21"/>
                <w:szCs w:val="21"/>
                <w:lang w:val="en-US" w:eastAsia="zh-CN"/>
              </w:rPr>
              <w:t>（其中12:00-12:30午餐）</w:t>
            </w:r>
          </w:p>
        </w:tc>
        <w:tc>
          <w:tcPr>
            <w:tcW w:w="1213"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jc w:val="left"/>
              <w:textAlignment w:val="auto"/>
              <w:rPr>
                <w:rFonts w:hint="eastAsia" w:ascii="宋体" w:hAnsi="宋体" w:eastAsia="宋体" w:cs="Times New Roman"/>
                <w:color w:val="auto"/>
                <w:sz w:val="21"/>
                <w:szCs w:val="21"/>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jc w:val="left"/>
              <w:textAlignment w:val="auto"/>
              <w:rPr>
                <w:rFonts w:hint="eastAsia" w:ascii="宋体" w:hAnsi="宋体" w:eastAsia="宋体" w:cs="Times New Roman"/>
                <w:color w:val="auto"/>
                <w:sz w:val="21"/>
                <w:szCs w:val="21"/>
              </w:rPr>
            </w:pPr>
          </w:p>
        </w:tc>
        <w:tc>
          <w:tcPr>
            <w:tcW w:w="10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jc w:val="left"/>
              <w:textAlignment w:val="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rPr>
              <w:t>审核条款：</w:t>
            </w:r>
            <w:r>
              <w:rPr>
                <w:rFonts w:hint="eastAsia" w:ascii="宋体" w:hAnsi="宋体"/>
                <w:color w:val="auto"/>
                <w:szCs w:val="21"/>
                <w:highlight w:val="none"/>
              </w:rPr>
              <w:t>部门职责权限、目标指标、运行控制、资金支持、不符合纠正及纠正措施</w:t>
            </w:r>
            <w:r>
              <w:rPr>
                <w:rFonts w:hint="eastAsia" w:ascii="宋体" w:hAnsi="宋体"/>
                <w:color w:val="auto"/>
                <w:szCs w:val="21"/>
                <w:highlight w:val="none"/>
                <w:lang w:eastAsia="zh-CN"/>
              </w:rPr>
              <w:t>。EnMS:5.3/6.2/7.1/8.1/10.1</w:t>
            </w:r>
            <w:r>
              <w:rPr>
                <w:rFonts w:hint="eastAsia" w:ascii="宋体" w:hAnsi="宋体"/>
                <w:color w:val="auto"/>
                <w:szCs w:val="21"/>
                <w:highlight w:val="none"/>
                <w:lang w:val="en-US" w:eastAsia="zh-CN"/>
              </w:rPr>
              <w:t>。</w:t>
            </w:r>
          </w:p>
        </w:tc>
        <w:tc>
          <w:tcPr>
            <w:tcW w:w="1213"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2160" w:type="dxa"/>
          </w:tcPr>
          <w:p>
            <w:pPr>
              <w:rPr>
                <w:rFonts w:hint="eastAsia"/>
                <w:color w:val="auto"/>
              </w:rPr>
            </w:pPr>
            <w:r>
              <w:rPr>
                <w:rFonts w:hint="eastAsia"/>
                <w:color w:val="auto"/>
                <w:lang w:val="en-US" w:eastAsia="zh-CN"/>
              </w:rPr>
              <w:t>1.</w:t>
            </w:r>
            <w:r>
              <w:rPr>
                <w:rFonts w:hint="eastAsia"/>
                <w:color w:val="auto"/>
              </w:rPr>
              <w:t>组织的岗位、职责和权限</w:t>
            </w:r>
          </w:p>
          <w:p>
            <w:pPr>
              <w:rPr>
                <w:rFonts w:hint="eastAsia"/>
                <w:color w:val="auto"/>
                <w:lang w:eastAsia="zh-CN"/>
              </w:rPr>
            </w:pPr>
            <w:r>
              <w:rPr>
                <w:rFonts w:hint="eastAsia"/>
                <w:color w:val="auto"/>
              </w:rPr>
              <w:t>2.能源管理目标、指标及实现措施策划适宜性；能源职责</w:t>
            </w:r>
            <w:r>
              <w:rPr>
                <w:rFonts w:hint="eastAsia"/>
                <w:color w:val="auto"/>
                <w:lang w:eastAsia="zh-CN"/>
              </w:rPr>
              <w:t>。</w:t>
            </w:r>
          </w:p>
        </w:tc>
        <w:tc>
          <w:tcPr>
            <w:tcW w:w="960" w:type="dxa"/>
          </w:tcPr>
          <w:p>
            <w:pPr>
              <w:rPr>
                <w:rFonts w:hint="default"/>
                <w:color w:val="auto"/>
                <w:lang w:val="en-US" w:eastAsia="zh-CN"/>
              </w:rPr>
            </w:pPr>
            <w:r>
              <w:rPr>
                <w:rFonts w:hint="eastAsia"/>
                <w:color w:val="auto"/>
              </w:rPr>
              <w:t>5.3</w:t>
            </w:r>
            <w:r>
              <w:rPr>
                <w:rFonts w:hint="eastAsia"/>
                <w:color w:val="auto"/>
                <w:lang w:val="en-US" w:eastAsia="zh-CN"/>
              </w:rPr>
              <w:t>/6.2</w:t>
            </w:r>
          </w:p>
        </w:tc>
        <w:tc>
          <w:tcPr>
            <w:tcW w:w="10376" w:type="dxa"/>
          </w:tcPr>
          <w:p>
            <w:pPr>
              <w:ind w:firstLine="420" w:firstLineChars="200"/>
              <w:rPr>
                <w:rFonts w:hint="default"/>
                <w:color w:val="auto"/>
                <w:lang w:val="en-US" w:eastAsia="zh-CN"/>
              </w:rPr>
            </w:pPr>
            <w:r>
              <w:rPr>
                <w:rFonts w:hint="eastAsia"/>
                <w:color w:val="auto"/>
                <w:lang w:val="en-US" w:eastAsia="zh-CN"/>
              </w:rPr>
              <w:t>提供《JXNHBA/QP-03</w:t>
            </w:r>
            <w:r>
              <w:rPr>
                <w:rFonts w:hint="eastAsia"/>
                <w:color w:val="auto"/>
                <w:lang w:val="en-US" w:eastAsia="zh-CN"/>
              </w:rPr>
              <w:tab/>
            </w:r>
            <w:r>
              <w:rPr>
                <w:rFonts w:hint="eastAsia"/>
                <w:color w:val="auto"/>
                <w:lang w:val="en-US" w:eastAsia="zh-CN"/>
              </w:rPr>
              <w:t>目标、指标的制定控制程序》，有编审批，符合标准要求。</w:t>
            </w:r>
          </w:p>
          <w:p>
            <w:pPr>
              <w:numPr>
                <w:ilvl w:val="0"/>
                <w:numId w:val="1"/>
              </w:numPr>
              <w:ind w:firstLine="420" w:firstLineChars="200"/>
              <w:rPr>
                <w:rFonts w:hint="eastAsia"/>
                <w:color w:val="auto"/>
                <w:lang w:val="en-US" w:eastAsia="zh-CN"/>
              </w:rPr>
            </w:pPr>
            <w:r>
              <w:rPr>
                <w:rFonts w:hint="eastAsia"/>
                <w:color w:val="auto"/>
                <w:lang w:val="en-US" w:eastAsia="zh-CN"/>
              </w:rPr>
              <w:t xml:space="preserve">.财务部：领导 </w:t>
            </w:r>
            <w:r>
              <w:rPr>
                <w:rFonts w:hint="eastAsia" w:ascii="宋体" w:hAnsi="宋体" w:cs="Times New Roman"/>
                <w:color w:val="auto"/>
                <w:sz w:val="21"/>
                <w:szCs w:val="21"/>
                <w:lang w:val="en-US" w:eastAsia="zh-CN"/>
              </w:rPr>
              <w:t>王丽娟</w:t>
            </w:r>
            <w:r>
              <w:rPr>
                <w:rFonts w:hint="eastAsia"/>
                <w:color w:val="auto"/>
                <w:lang w:val="en-US" w:eastAsia="zh-CN"/>
              </w:rPr>
              <w:t>，共1人，岗位设置：财务经理、成本会计、往来会计、出纳会计。</w:t>
            </w:r>
          </w:p>
          <w:p>
            <w:pPr>
              <w:numPr>
                <w:ilvl w:val="0"/>
                <w:numId w:val="1"/>
              </w:numPr>
              <w:ind w:firstLine="420" w:firstLineChars="200"/>
              <w:rPr>
                <w:rFonts w:hint="eastAsia"/>
                <w:color w:val="auto"/>
                <w:lang w:val="en-US" w:eastAsia="zh-CN"/>
              </w:rPr>
            </w:pPr>
            <w:r>
              <w:rPr>
                <w:rFonts w:hint="eastAsia"/>
                <w:color w:val="auto"/>
                <w:lang w:val="en-US" w:eastAsia="zh-CN"/>
              </w:rPr>
              <w:t xml:space="preserve"> 财务岗位职责：  </w:t>
            </w:r>
          </w:p>
          <w:p>
            <w:pPr>
              <w:ind w:firstLine="420" w:firstLineChars="200"/>
              <w:rPr>
                <w:rFonts w:hint="eastAsia"/>
                <w:color w:val="auto"/>
                <w:lang w:val="en-US" w:eastAsia="zh-CN"/>
              </w:rPr>
            </w:pPr>
            <w:r>
              <w:rPr>
                <w:rFonts w:hint="eastAsia"/>
                <w:color w:val="auto"/>
                <w:lang w:val="en-US" w:eastAsia="zh-CN"/>
              </w:rPr>
              <w:t xml:space="preserve">（1）制定执行财务规章制度； </w:t>
            </w:r>
          </w:p>
          <w:p>
            <w:pPr>
              <w:ind w:firstLine="420" w:firstLineChars="200"/>
              <w:rPr>
                <w:rFonts w:hint="eastAsia"/>
                <w:color w:val="auto"/>
                <w:lang w:val="en-US" w:eastAsia="zh-CN"/>
              </w:rPr>
            </w:pPr>
            <w:r>
              <w:rPr>
                <w:rFonts w:hint="eastAsia"/>
                <w:color w:val="auto"/>
                <w:lang w:val="en-US" w:eastAsia="zh-CN"/>
              </w:rPr>
              <w:t xml:space="preserve">（2）编制年度、月度预算、决算计划； 财务报表分析、报告；税务申报、纳税工作； </w:t>
            </w:r>
          </w:p>
          <w:p>
            <w:pPr>
              <w:ind w:firstLine="420" w:firstLineChars="200"/>
              <w:rPr>
                <w:rFonts w:hint="eastAsia"/>
                <w:color w:val="auto"/>
                <w:lang w:val="en-US" w:eastAsia="zh-CN"/>
              </w:rPr>
            </w:pPr>
            <w:r>
              <w:rPr>
                <w:rFonts w:hint="eastAsia"/>
                <w:color w:val="auto"/>
                <w:lang w:val="en-US" w:eastAsia="zh-CN"/>
              </w:rPr>
              <w:t>（4） 成本管理，筹措调配平衡资金的计划；</w:t>
            </w:r>
          </w:p>
          <w:p>
            <w:pPr>
              <w:ind w:firstLine="420" w:firstLineChars="200"/>
              <w:rPr>
                <w:rFonts w:hint="eastAsia"/>
                <w:color w:val="auto"/>
                <w:lang w:val="en-US" w:eastAsia="zh-CN"/>
              </w:rPr>
            </w:pPr>
            <w:r>
              <w:rPr>
                <w:rFonts w:hint="eastAsia"/>
                <w:color w:val="auto"/>
                <w:lang w:val="en-US" w:eastAsia="zh-CN"/>
              </w:rPr>
              <w:t xml:space="preserve">（5） 固定资产核算和管理；开具产品发票；  </w:t>
            </w:r>
          </w:p>
          <w:p>
            <w:pPr>
              <w:ind w:firstLine="420" w:firstLineChars="200"/>
              <w:rPr>
                <w:rFonts w:hint="eastAsia"/>
                <w:color w:val="auto"/>
                <w:lang w:val="en-US" w:eastAsia="zh-CN"/>
              </w:rPr>
            </w:pPr>
            <w:r>
              <w:rPr>
                <w:rFonts w:hint="eastAsia"/>
                <w:color w:val="auto"/>
                <w:lang w:val="en-US" w:eastAsia="zh-CN"/>
              </w:rPr>
              <w:t xml:space="preserve">（6）监督采购物资的价格；参与采购部价格及付款方式的合同评审； </w:t>
            </w:r>
          </w:p>
          <w:p>
            <w:pPr>
              <w:ind w:firstLine="420" w:firstLineChars="200"/>
              <w:rPr>
                <w:rFonts w:hint="eastAsia"/>
                <w:color w:val="auto"/>
                <w:lang w:val="en-US" w:eastAsia="zh-CN"/>
              </w:rPr>
            </w:pPr>
            <w:r>
              <w:rPr>
                <w:rFonts w:hint="eastAsia"/>
                <w:color w:val="auto"/>
                <w:lang w:val="en-US" w:eastAsia="zh-CN"/>
              </w:rPr>
              <w:t>（7）每年计算能源费占总成本的比例。</w:t>
            </w:r>
          </w:p>
          <w:p>
            <w:pPr>
              <w:ind w:firstLine="420" w:firstLineChars="200"/>
              <w:rPr>
                <w:rFonts w:hint="eastAsia"/>
                <w:color w:val="auto"/>
                <w:lang w:val="en-US" w:eastAsia="zh-CN"/>
              </w:rPr>
            </w:pPr>
            <w:r>
              <w:rPr>
                <w:rFonts w:hint="eastAsia"/>
                <w:color w:val="auto"/>
                <w:lang w:val="en-US" w:eastAsia="zh-CN"/>
              </w:rPr>
              <w:t>（8）做好能源预算，保证有设备折旧基金用于节能改造项目。</w:t>
            </w:r>
          </w:p>
          <w:p>
            <w:pPr>
              <w:ind w:firstLine="420" w:firstLineChars="200"/>
              <w:rPr>
                <w:rFonts w:hint="default"/>
                <w:color w:val="auto"/>
                <w:lang w:val="en-US" w:eastAsia="zh-CN"/>
              </w:rPr>
            </w:pPr>
            <w:r>
              <w:rPr>
                <w:rFonts w:hint="eastAsia"/>
                <w:color w:val="auto"/>
                <w:lang w:val="en-US" w:eastAsia="zh-CN"/>
              </w:rPr>
              <w:t>（9）做好上级交办的其他工作。</w:t>
            </w:r>
          </w:p>
          <w:p>
            <w:pPr>
              <w:ind w:firstLine="420" w:firstLineChars="200"/>
              <w:rPr>
                <w:rFonts w:hint="default"/>
                <w:color w:val="auto"/>
                <w:szCs w:val="22"/>
                <w:lang w:val="en-US" w:eastAsia="zh-CN"/>
              </w:rPr>
            </w:pPr>
            <w:r>
              <w:rPr>
                <w:rFonts w:hint="eastAsia"/>
                <w:b w:val="0"/>
                <w:bCs w:val="0"/>
                <w:color w:val="auto"/>
                <w:szCs w:val="22"/>
                <w:lang w:val="en-US" w:eastAsia="zh-CN"/>
              </w:rPr>
              <w:t>三、</w:t>
            </w:r>
            <w:r>
              <w:rPr>
                <w:rFonts w:hint="eastAsia"/>
                <w:color w:val="auto"/>
                <w:szCs w:val="22"/>
                <w:lang w:val="en-US" w:eastAsia="zh-CN"/>
              </w:rPr>
              <w:t>提供</w:t>
            </w:r>
            <w:r>
              <w:rPr>
                <w:rFonts w:hint="eastAsia"/>
                <w:color w:val="auto"/>
                <w:lang w:val="en-US" w:eastAsia="zh-CN"/>
              </w:rPr>
              <w:t>财务部</w:t>
            </w:r>
            <w:r>
              <w:rPr>
                <w:rFonts w:hint="eastAsia"/>
                <w:color w:val="auto"/>
                <w:szCs w:val="22"/>
                <w:lang w:val="en-US" w:eastAsia="zh-CN"/>
              </w:rPr>
              <w:t>能源管理目标是：</w:t>
            </w:r>
          </w:p>
          <w:p>
            <w:pPr>
              <w:ind w:firstLine="420" w:firstLineChars="200"/>
              <w:rPr>
                <w:rFonts w:hint="eastAsia"/>
                <w:color w:val="auto"/>
                <w:lang w:val="en-US" w:eastAsia="zh-CN"/>
              </w:rPr>
            </w:pPr>
            <w:r>
              <w:rPr>
                <w:rFonts w:hint="eastAsia"/>
                <w:color w:val="auto"/>
                <w:lang w:val="en-US" w:eastAsia="zh-CN"/>
              </w:rPr>
              <w:drawing>
                <wp:inline distT="0" distB="0" distL="114300" distR="114300">
                  <wp:extent cx="4351655" cy="1550670"/>
                  <wp:effectExtent l="0" t="0" r="4445" b="1143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4"/>
                          <a:stretch>
                            <a:fillRect/>
                          </a:stretch>
                        </pic:blipFill>
                        <pic:spPr>
                          <a:xfrm>
                            <a:off x="0" y="0"/>
                            <a:ext cx="4351655" cy="1550670"/>
                          </a:xfrm>
                          <a:prstGeom prst="rect">
                            <a:avLst/>
                          </a:prstGeom>
                          <a:noFill/>
                          <a:ln>
                            <a:noFill/>
                          </a:ln>
                        </pic:spPr>
                      </pic:pic>
                    </a:graphicData>
                  </a:graphic>
                </wp:inline>
              </w:drawing>
            </w:r>
          </w:p>
          <w:p>
            <w:pPr>
              <w:ind w:firstLine="420" w:firstLineChars="200"/>
              <w:rPr>
                <w:rFonts w:hint="default"/>
                <w:color w:val="auto"/>
                <w:lang w:val="en-US" w:eastAsia="zh-CN"/>
              </w:rPr>
            </w:pPr>
            <w:r>
              <w:rPr>
                <w:rFonts w:hint="eastAsia"/>
                <w:color w:val="auto"/>
                <w:lang w:val="en-US" w:eastAsia="zh-CN"/>
              </w:rPr>
              <w:t>查阅近期的考核记录全部完成。</w:t>
            </w:r>
          </w:p>
        </w:tc>
        <w:tc>
          <w:tcPr>
            <w:tcW w:w="1213" w:type="dxa"/>
          </w:tcPr>
          <w:p>
            <w:pPr>
              <w:rPr>
                <w:rFonts w:hint="eastAsia" w:eastAsia="宋体"/>
                <w:color w:val="auto"/>
                <w:lang w:val="en-US" w:eastAsia="zh-CN"/>
              </w:rPr>
            </w:pPr>
            <w:r>
              <w:rPr>
                <w:rFonts w:hint="eastAsia"/>
                <w:color w:val="auto"/>
                <w:lang w:val="en-US" w:eastAsia="zh-CN"/>
              </w:rPr>
              <w:t>Y</w:t>
            </w:r>
          </w:p>
          <w:p>
            <w:pPr>
              <w:rPr>
                <w:color w:val="auto"/>
              </w:rPr>
            </w:pPr>
          </w:p>
          <w:p>
            <w:pPr>
              <w:rPr>
                <w:color w:val="auto"/>
              </w:rPr>
            </w:pPr>
          </w:p>
          <w:p>
            <w:pPr>
              <w:rPr>
                <w:color w:val="auto"/>
              </w:rPr>
            </w:pPr>
          </w:p>
          <w:p>
            <w:pPr>
              <w:rPr>
                <w:color w:val="auto"/>
              </w:rPr>
            </w:pPr>
          </w:p>
          <w:p>
            <w:pPr>
              <w:rPr>
                <w:color w:val="auto"/>
              </w:rPr>
            </w:pPr>
          </w:p>
          <w:p>
            <w:pPr>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numPr>
                <w:ilvl w:val="0"/>
                <w:numId w:val="0"/>
              </w:numPr>
              <w:rPr>
                <w:rFonts w:hint="eastAsia"/>
                <w:color w:val="auto"/>
                <w:lang w:val="en-US" w:eastAsia="zh-CN"/>
              </w:rPr>
            </w:pPr>
            <w:r>
              <w:rPr>
                <w:rFonts w:hint="eastAsia"/>
                <w:color w:val="auto"/>
                <w:lang w:val="en-US" w:eastAsia="zh-CN"/>
              </w:rPr>
              <w:t>3.能源资金的支持；</w:t>
            </w:r>
          </w:p>
          <w:p>
            <w:pPr>
              <w:pStyle w:val="2"/>
              <w:numPr>
                <w:ilvl w:val="0"/>
                <w:numId w:val="0"/>
              </w:numPr>
              <w:rPr>
                <w:rFonts w:hint="default"/>
                <w:color w:val="auto"/>
                <w:lang w:val="en-US" w:eastAsia="zh-CN"/>
              </w:rPr>
            </w:pPr>
            <w:r>
              <w:rPr>
                <w:rFonts w:hint="eastAsia"/>
                <w:color w:val="auto"/>
                <w:lang w:val="en-US" w:eastAsia="zh-CN"/>
              </w:rPr>
              <w:t>4.运行控制；</w:t>
            </w:r>
          </w:p>
          <w:p>
            <w:pPr>
              <w:pStyle w:val="2"/>
              <w:numPr>
                <w:ilvl w:val="0"/>
                <w:numId w:val="0"/>
              </w:numPr>
              <w:rPr>
                <w:rFonts w:hint="default" w:eastAsia="宋体"/>
                <w:color w:val="auto"/>
                <w:lang w:val="en-US" w:eastAsia="zh-CN"/>
              </w:rPr>
            </w:pPr>
            <w:r>
              <w:rPr>
                <w:rFonts w:hint="eastAsia"/>
                <w:color w:val="auto"/>
                <w:lang w:val="en-US" w:eastAsia="zh-CN"/>
              </w:rPr>
              <w:t>5.不符合与纠正措施。</w:t>
            </w:r>
          </w:p>
        </w:tc>
        <w:tc>
          <w:tcPr>
            <w:tcW w:w="960" w:type="dxa"/>
          </w:tcPr>
          <w:p>
            <w:pPr>
              <w:rPr>
                <w:rFonts w:hint="eastAsia"/>
                <w:color w:val="auto"/>
                <w:lang w:val="en-US" w:eastAsia="zh-CN"/>
              </w:rPr>
            </w:pPr>
            <w:r>
              <w:rPr>
                <w:rFonts w:hint="eastAsia"/>
                <w:color w:val="auto"/>
                <w:lang w:val="en-US" w:eastAsia="zh-CN"/>
              </w:rPr>
              <w:t>7.1/8.1</w:t>
            </w:r>
          </w:p>
          <w:p>
            <w:pPr>
              <w:rPr>
                <w:rFonts w:hint="default"/>
                <w:color w:val="auto"/>
                <w:lang w:val="en-US"/>
              </w:rPr>
            </w:pPr>
            <w:r>
              <w:rPr>
                <w:rFonts w:hint="eastAsia"/>
                <w:color w:val="auto"/>
                <w:lang w:val="en-US" w:eastAsia="zh-CN"/>
              </w:rPr>
              <w:t>10.1</w:t>
            </w:r>
          </w:p>
        </w:tc>
        <w:tc>
          <w:tcPr>
            <w:tcW w:w="10376" w:type="dxa"/>
          </w:tcPr>
          <w:p>
            <w:pPr>
              <w:numPr>
                <w:ilvl w:val="0"/>
                <w:numId w:val="0"/>
              </w:numPr>
              <w:ind w:firstLine="420" w:firstLineChars="200"/>
              <w:rPr>
                <w:rFonts w:hint="eastAsia"/>
                <w:color w:val="auto"/>
                <w:lang w:val="en-US" w:eastAsia="zh-CN"/>
              </w:rPr>
            </w:pPr>
            <w:r>
              <w:rPr>
                <w:rFonts w:hint="eastAsia"/>
                <w:color w:val="auto"/>
                <w:lang w:val="en-US" w:eastAsia="zh-CN"/>
              </w:rPr>
              <w:t>1、查阅文件</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color w:val="auto"/>
                <w:lang w:val="en-US" w:eastAsia="zh-CN"/>
              </w:rPr>
            </w:pPr>
            <w:r>
              <w:rPr>
                <w:rFonts w:hint="eastAsia"/>
                <w:color w:val="auto"/>
                <w:lang w:val="en-US" w:eastAsia="zh-CN"/>
              </w:rPr>
              <w:t>提供《能源管理体系手册》、</w:t>
            </w:r>
            <w:r>
              <w:rPr>
                <w:rFonts w:hint="eastAsia"/>
                <w:color w:val="auto"/>
                <w:lang w:eastAsia="zh-CN"/>
              </w:rPr>
              <w:t>《</w:t>
            </w:r>
            <w:r>
              <w:rPr>
                <w:rFonts w:hint="eastAsia"/>
                <w:color w:val="auto"/>
                <w:lang w:val="en-US" w:eastAsia="zh-CN"/>
              </w:rPr>
              <w:t>程序文件</w:t>
            </w:r>
            <w:r>
              <w:rPr>
                <w:rFonts w:hint="eastAsia"/>
                <w:color w:val="auto"/>
                <w:lang w:eastAsia="zh-CN"/>
              </w:rPr>
              <w:t>》</w:t>
            </w:r>
            <w:r>
              <w:rPr>
                <w:rFonts w:hint="eastAsia"/>
                <w:color w:val="auto"/>
                <w:lang w:val="en-US" w:eastAsia="zh-CN"/>
              </w:rPr>
              <w:t>、能源管理制度，相关文件有</w:t>
            </w:r>
            <w:r>
              <w:rPr>
                <w:rFonts w:hint="eastAsia" w:ascii="Times New Roman" w:hAnsi="Times New Roman" w:eastAsia="宋体" w:cs="Times New Roman"/>
                <w:color w:val="auto"/>
                <w:lang w:val="en-US" w:eastAsia="zh-CN"/>
              </w:rPr>
              <w:t>《JXNHBA/QP-11体系运行控制程序》《JXNHBA/QP-22不符合、纠正、改进措施程序》</w:t>
            </w:r>
            <w:r>
              <w:rPr>
                <w:rFonts w:hint="eastAsia" w:cs="Times New Roman"/>
                <w:color w:val="auto"/>
                <w:lang w:val="en-US" w:eastAsia="zh-CN"/>
              </w:rPr>
              <w:t>《Q/NHBA 206.1-2021-A/0财务管理规范》</w:t>
            </w:r>
            <w:r>
              <w:rPr>
                <w:rFonts w:hint="eastAsia"/>
                <w:color w:val="auto"/>
                <w:lang w:val="en-US" w:eastAsia="zh-CN"/>
              </w:rPr>
              <w:t>，基本符合标准要求。</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color w:val="auto"/>
                <w:lang w:val="en-US" w:eastAsia="zh-CN"/>
              </w:rPr>
            </w:pPr>
            <w:r>
              <w:rPr>
                <w:rFonts w:hint="eastAsia"/>
                <w:color w:val="auto"/>
                <w:lang w:val="en-US" w:eastAsia="zh-CN"/>
              </w:rPr>
              <w:t>2、公司的保安管理服务的各位业主所消费的电、水费用全部是由业主与供电、供水单位直接结算。</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color w:val="auto"/>
                <w:lang w:val="en-US" w:eastAsia="zh-CN"/>
              </w:rPr>
            </w:pPr>
            <w:r>
              <w:rPr>
                <w:rFonts w:hint="eastAsia"/>
                <w:color w:val="auto"/>
                <w:lang w:val="en-US" w:eastAsia="zh-CN"/>
              </w:rPr>
              <w:t>（1）提供物业服务管理小区用电费用</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color w:val="auto"/>
              </w:rPr>
            </w:pPr>
            <w:r>
              <w:rPr>
                <w:color w:val="auto"/>
              </w:rPr>
              <w:drawing>
                <wp:inline distT="0" distB="0" distL="114300" distR="114300">
                  <wp:extent cx="3460115" cy="2085340"/>
                  <wp:effectExtent l="0" t="0" r="6985" b="1016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5"/>
                          <a:stretch>
                            <a:fillRect/>
                          </a:stretch>
                        </pic:blipFill>
                        <pic:spPr>
                          <a:xfrm>
                            <a:off x="0" y="0"/>
                            <a:ext cx="3460115" cy="2085340"/>
                          </a:xfrm>
                          <a:prstGeom prst="rect">
                            <a:avLst/>
                          </a:prstGeom>
                          <a:noFill/>
                          <a:ln>
                            <a:noFill/>
                          </a:ln>
                        </pic:spPr>
                      </pic:pic>
                    </a:graphicData>
                  </a:graphic>
                </wp:inline>
              </w:drawing>
            </w:r>
          </w:p>
          <w:p>
            <w:pPr>
              <w:pStyle w:val="2"/>
              <w:jc w:val="center"/>
              <w:rPr>
                <w:rFonts w:hint="eastAsia"/>
                <w:color w:val="auto"/>
                <w:lang w:val="en-US" w:eastAsia="zh-CN"/>
              </w:rPr>
            </w:pPr>
            <w:r>
              <w:rPr>
                <w:color w:val="auto"/>
              </w:rPr>
              <w:drawing>
                <wp:inline distT="0" distB="0" distL="114300" distR="114300">
                  <wp:extent cx="5311775" cy="1890395"/>
                  <wp:effectExtent l="0" t="0" r="9525" b="190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6"/>
                          <a:stretch>
                            <a:fillRect/>
                          </a:stretch>
                        </pic:blipFill>
                        <pic:spPr>
                          <a:xfrm>
                            <a:off x="0" y="0"/>
                            <a:ext cx="5311775" cy="18903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color w:val="auto"/>
                <w:lang w:val="en-US" w:eastAsia="zh-CN"/>
              </w:rPr>
            </w:pPr>
            <w:r>
              <w:rPr>
                <w:rFonts w:hint="eastAsia"/>
                <w:color w:val="auto"/>
                <w:lang w:val="en-US" w:eastAsia="zh-CN"/>
              </w:rPr>
              <w:t>（2）提供物业服务管理小区用水费用</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color w:val="auto"/>
              </w:rPr>
            </w:pPr>
            <w:r>
              <w:rPr>
                <w:color w:val="auto"/>
              </w:rPr>
              <w:drawing>
                <wp:inline distT="0" distB="0" distL="114300" distR="114300">
                  <wp:extent cx="5890895" cy="2233930"/>
                  <wp:effectExtent l="0" t="0" r="1905" b="127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7"/>
                          <a:stretch>
                            <a:fillRect/>
                          </a:stretch>
                        </pic:blipFill>
                        <pic:spPr>
                          <a:xfrm>
                            <a:off x="0" y="0"/>
                            <a:ext cx="5890895" cy="2233930"/>
                          </a:xfrm>
                          <a:prstGeom prst="rect">
                            <a:avLst/>
                          </a:prstGeom>
                          <a:noFill/>
                          <a:ln>
                            <a:noFill/>
                          </a:ln>
                        </pic:spPr>
                      </pic:pic>
                    </a:graphicData>
                  </a:graphic>
                </wp:inline>
              </w:drawing>
            </w:r>
          </w:p>
          <w:p>
            <w:pPr>
              <w:pStyle w:val="2"/>
              <w:jc w:val="center"/>
              <w:rPr>
                <w:rFonts w:hint="eastAsia"/>
                <w:color w:val="auto"/>
                <w:lang w:val="en-US" w:eastAsia="zh-CN"/>
              </w:rPr>
            </w:pPr>
            <w:r>
              <w:rPr>
                <w:color w:val="auto"/>
              </w:rPr>
              <w:drawing>
                <wp:inline distT="0" distB="0" distL="114300" distR="114300">
                  <wp:extent cx="4906010" cy="2806700"/>
                  <wp:effectExtent l="0" t="0" r="8890"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8"/>
                          <a:stretch>
                            <a:fillRect/>
                          </a:stretch>
                        </pic:blipFill>
                        <pic:spPr>
                          <a:xfrm>
                            <a:off x="0" y="0"/>
                            <a:ext cx="4906010" cy="28067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color w:val="auto"/>
                <w:lang w:val="en-US" w:eastAsia="zh-CN"/>
              </w:rPr>
            </w:pPr>
            <w:r>
              <w:rPr>
                <w:rFonts w:hint="eastAsia"/>
                <w:color w:val="auto"/>
                <w:lang w:val="en-US" w:eastAsia="zh-CN"/>
              </w:rPr>
              <w:t>（3）公司办公所用水、电记录</w:t>
            </w:r>
          </w:p>
          <w:p>
            <w:pPr>
              <w:pStyle w:val="2"/>
              <w:jc w:val="center"/>
              <w:rPr>
                <w:rFonts w:hint="eastAsia"/>
                <w:color w:val="auto"/>
                <w:lang w:val="en-US" w:eastAsia="zh-CN"/>
              </w:rPr>
            </w:pPr>
            <w:r>
              <w:rPr>
                <w:color w:val="auto"/>
              </w:rPr>
              <w:drawing>
                <wp:inline distT="0" distB="0" distL="114300" distR="114300">
                  <wp:extent cx="3329305" cy="3151505"/>
                  <wp:effectExtent l="0" t="0" r="10795" b="1079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9"/>
                          <a:stretch>
                            <a:fillRect/>
                          </a:stretch>
                        </pic:blipFill>
                        <pic:spPr>
                          <a:xfrm>
                            <a:off x="0" y="0"/>
                            <a:ext cx="3329305" cy="3151505"/>
                          </a:xfrm>
                          <a:prstGeom prst="rect">
                            <a:avLst/>
                          </a:prstGeom>
                          <a:noFill/>
                          <a:ln>
                            <a:noFill/>
                          </a:ln>
                        </pic:spPr>
                      </pic:pic>
                    </a:graphicData>
                  </a:graphic>
                </wp:inline>
              </w:drawing>
            </w:r>
          </w:p>
          <w:p>
            <w:pPr>
              <w:pStyle w:val="2"/>
              <w:jc w:val="center"/>
              <w:rPr>
                <w:rFonts w:hint="default"/>
                <w:color w:val="auto"/>
                <w:lang w:val="en-US" w:eastAsia="zh-CN"/>
              </w:rPr>
            </w:pPr>
          </w:p>
          <w:p>
            <w:pPr>
              <w:ind w:firstLine="420" w:firstLineChars="200"/>
              <w:rPr>
                <w:rFonts w:hint="default" w:eastAsia="宋体"/>
                <w:color w:val="auto"/>
                <w:lang w:val="en-US" w:eastAsia="zh-CN"/>
              </w:rPr>
            </w:pPr>
            <w:r>
              <w:rPr>
                <w:rFonts w:hint="eastAsia"/>
                <w:color w:val="auto"/>
                <w:lang w:val="en-US" w:eastAsia="zh-CN"/>
              </w:rPr>
              <w:t>目前在能源方面的财务管理没有发生不符合。资金全部到位。</w:t>
            </w:r>
          </w:p>
        </w:tc>
        <w:tc>
          <w:tcPr>
            <w:tcW w:w="1213" w:type="dxa"/>
          </w:tcPr>
          <w:p>
            <w:pPr>
              <w:rPr>
                <w:rFonts w:hint="eastAsia" w:eastAsia="宋体"/>
                <w:color w:val="auto"/>
                <w:lang w:val="en-US" w:eastAsia="zh-CN"/>
              </w:rPr>
            </w:pPr>
            <w:r>
              <w:rPr>
                <w:rFonts w:hint="eastAsia"/>
                <w:color w:val="auto"/>
                <w:lang w:val="en-US" w:eastAsia="zh-CN"/>
              </w:rPr>
              <w:t>Y</w:t>
            </w:r>
          </w:p>
        </w:tc>
      </w:tr>
    </w:tbl>
    <w:p>
      <w:pPr>
        <w:pStyle w:val="5"/>
        <w:rPr>
          <w:color w:val="auto"/>
        </w:rPr>
      </w:pPr>
      <w:r>
        <w:rPr>
          <w:rFonts w:hint="eastAsia"/>
          <w:color w:val="auto"/>
        </w:rPr>
        <w:t>说明：不符合标注N</w:t>
      </w:r>
    </w:p>
    <w:p>
      <w:pPr>
        <w:pStyle w:val="5"/>
        <w:rPr>
          <w:rFonts w:hint="eastAsia"/>
          <w:color w:val="000000" w:themeColor="text1"/>
        </w:rPr>
      </w:pPr>
    </w:p>
    <w:p>
      <w:pPr>
        <w:pStyle w:val="5"/>
        <w:rPr>
          <w:rFonts w:hint="eastAsia"/>
          <w:color w:val="000000" w:themeColor="text1"/>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ascii="隶书" w:hAnsi="宋体" w:eastAsia="隶书"/>
          <w:bCs/>
          <w:color w:val="auto"/>
          <w:sz w:val="36"/>
          <w:szCs w:val="36"/>
        </w:rPr>
      </w:pPr>
      <w:bookmarkStart w:id="0" w:name="_GoBack"/>
      <w:bookmarkEnd w:id="0"/>
      <w:r>
        <w:rPr>
          <w:rFonts w:hint="eastAsia" w:ascii="隶书" w:hAnsi="宋体" w:eastAsia="隶书"/>
          <w:bCs/>
          <w:color w:val="auto"/>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76"/>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jc w:val="center"/>
              <w:rPr>
                <w:color w:val="auto"/>
                <w:sz w:val="24"/>
                <w:szCs w:val="24"/>
              </w:rPr>
            </w:pPr>
            <w:r>
              <w:rPr>
                <w:rFonts w:hint="eastAsia"/>
                <w:color w:val="auto"/>
                <w:sz w:val="24"/>
                <w:szCs w:val="24"/>
              </w:rPr>
              <w:t>涉及</w:t>
            </w:r>
          </w:p>
          <w:p>
            <w:pPr>
              <w:jc w:val="center"/>
              <w:rPr>
                <w:color w:val="auto"/>
              </w:rPr>
            </w:pPr>
            <w:r>
              <w:rPr>
                <w:rFonts w:hint="eastAsia"/>
                <w:color w:val="auto"/>
                <w:sz w:val="24"/>
                <w:szCs w:val="24"/>
              </w:rPr>
              <w:t>条款</w:t>
            </w:r>
          </w:p>
        </w:tc>
        <w:tc>
          <w:tcPr>
            <w:tcW w:w="10376" w:type="dxa"/>
            <w:vAlign w:val="center"/>
          </w:tcPr>
          <w:p>
            <w:pPr>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受审核部门：</w:t>
            </w:r>
            <w:r>
              <w:rPr>
                <w:rFonts w:hint="eastAsia" w:cs="Times New Roman"/>
                <w:color w:val="auto"/>
                <w:szCs w:val="22"/>
                <w:lang w:val="en-US" w:eastAsia="zh-CN"/>
              </w:rPr>
              <w:t>市场部</w:t>
            </w:r>
            <w:r>
              <w:rPr>
                <w:rFonts w:hint="eastAsia" w:ascii="Times New Roman" w:hAnsi="Times New Roman" w:eastAsia="宋体" w:cs="Times New Roman"/>
                <w:color w:val="auto"/>
                <w:szCs w:val="22"/>
                <w:lang w:val="en-US" w:eastAsia="zh-CN"/>
              </w:rPr>
              <w:t xml:space="preserve">    主管领导：</w:t>
            </w:r>
            <w:r>
              <w:rPr>
                <w:rFonts w:hint="eastAsia" w:cs="Times New Roman"/>
                <w:color w:val="auto"/>
                <w:szCs w:val="22"/>
                <w:lang w:val="en-US" w:eastAsia="zh-CN"/>
              </w:rPr>
              <w:t>胡君</w:t>
            </w:r>
            <w:r>
              <w:rPr>
                <w:rFonts w:hint="eastAsia" w:ascii="Times New Roman" w:hAnsi="Times New Roman" w:eastAsia="宋体" w:cs="Times New Roman"/>
                <w:color w:val="auto"/>
                <w:szCs w:val="22"/>
                <w:lang w:val="en-US" w:eastAsia="zh-CN"/>
              </w:rPr>
              <w:t xml:space="preserve">    </w:t>
            </w:r>
            <w:r>
              <w:rPr>
                <w:rFonts w:hint="eastAsia"/>
                <w:color w:val="auto"/>
                <w:szCs w:val="21"/>
              </w:rPr>
              <w:t xml:space="preserve">陪同人员： </w:t>
            </w:r>
            <w:r>
              <w:rPr>
                <w:rFonts w:hint="eastAsia"/>
                <w:color w:val="auto"/>
                <w:szCs w:val="21"/>
                <w:lang w:val="en-US" w:eastAsia="zh-CN"/>
              </w:rPr>
              <w:t>张玲</w:t>
            </w:r>
          </w:p>
        </w:tc>
        <w:tc>
          <w:tcPr>
            <w:tcW w:w="1213" w:type="dxa"/>
            <w:vMerge w:val="restart"/>
            <w:vAlign w:val="center"/>
          </w:tcPr>
          <w:p>
            <w:pPr>
              <w:jc w:val="cente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76" w:type="dxa"/>
            <w:vAlign w:val="center"/>
          </w:tcPr>
          <w:p>
            <w:pPr>
              <w:rPr>
                <w:rFonts w:hint="default"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审核员：王宁敏</w:t>
            </w:r>
            <w:r>
              <w:rPr>
                <w:rFonts w:hint="eastAsia"/>
                <w:color w:val="auto"/>
                <w:sz w:val="21"/>
                <w:szCs w:val="21"/>
                <w:lang w:eastAsia="zh-CN"/>
              </w:rPr>
              <w:t>（远程</w:t>
            </w:r>
            <w:r>
              <w:rPr>
                <w:rFonts w:hint="eastAsia"/>
                <w:color w:val="auto"/>
                <w:sz w:val="21"/>
                <w:szCs w:val="21"/>
                <w:lang w:val="en-US" w:eastAsia="zh-CN"/>
              </w:rPr>
              <w:t>-腾讯会议、</w:t>
            </w:r>
            <w:r>
              <w:rPr>
                <w:rFonts w:hint="eastAsia"/>
                <w:color w:val="auto"/>
                <w:sz w:val="21"/>
                <w:szCs w:val="21"/>
                <w:lang w:eastAsia="zh-CN"/>
              </w:rPr>
              <w:t>微信群、电话、视频等）</w:t>
            </w:r>
            <w:r>
              <w:rPr>
                <w:rFonts w:hint="eastAsia" w:ascii="Times New Roman" w:hAnsi="Times New Roman" w:eastAsia="宋体" w:cs="Times New Roman"/>
                <w:color w:val="auto"/>
                <w:szCs w:val="22"/>
                <w:lang w:val="en-US" w:eastAsia="zh-CN"/>
              </w:rPr>
              <w:t>审核时间：202</w:t>
            </w:r>
            <w:r>
              <w:rPr>
                <w:rFonts w:hint="eastAsia" w:cs="Times New Roman"/>
                <w:color w:val="auto"/>
                <w:szCs w:val="22"/>
                <w:lang w:val="en-US" w:eastAsia="zh-CN"/>
              </w:rPr>
              <w:t>2</w:t>
            </w:r>
            <w:r>
              <w:rPr>
                <w:rFonts w:hint="eastAsia" w:ascii="Times New Roman" w:hAnsi="Times New Roman" w:eastAsia="宋体" w:cs="Times New Roman"/>
                <w:color w:val="auto"/>
                <w:szCs w:val="22"/>
                <w:lang w:val="en-US" w:eastAsia="zh-CN"/>
              </w:rPr>
              <w:t>-9-</w:t>
            </w:r>
            <w:r>
              <w:rPr>
                <w:rFonts w:hint="eastAsia" w:cs="Times New Roman"/>
                <w:color w:val="auto"/>
                <w:szCs w:val="22"/>
                <w:lang w:val="en-US" w:eastAsia="zh-CN"/>
              </w:rPr>
              <w:t>0</w:t>
            </w:r>
            <w:r>
              <w:rPr>
                <w:rFonts w:hint="eastAsia" w:ascii="Times New Roman" w:hAnsi="Times New Roman" w:eastAsia="宋体" w:cs="Times New Roman"/>
                <w:color w:val="auto"/>
                <w:szCs w:val="22"/>
                <w:lang w:val="en-US" w:eastAsia="zh-CN"/>
              </w:rPr>
              <w:t xml:space="preserve">  8:00-11:00</w:t>
            </w:r>
          </w:p>
        </w:tc>
        <w:tc>
          <w:tcPr>
            <w:tcW w:w="1213"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76" w:type="dxa"/>
            <w:vAlign w:val="center"/>
          </w:tcPr>
          <w:p>
            <w:pPr>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审核条款：5.3 组织的岗位、职责和权限、6.2 目标、能源指及其实现的策划、8.1 运行的策划和控制、10.1不符合与纠正措施。</w:t>
            </w:r>
          </w:p>
        </w:tc>
        <w:tc>
          <w:tcPr>
            <w:tcW w:w="1213"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2160" w:type="dxa"/>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Chars="0"/>
              <w:jc w:val="left"/>
              <w:textAlignment w:val="auto"/>
              <w:rPr>
                <w:rFonts w:hint="eastAsia"/>
                <w:color w:val="auto"/>
                <w:lang w:val="en-US" w:eastAsia="zh-CN"/>
              </w:rPr>
            </w:pPr>
            <w:r>
              <w:rPr>
                <w:rFonts w:hint="eastAsia"/>
                <w:color w:val="auto"/>
                <w:lang w:val="en-US" w:eastAsia="zh-CN"/>
              </w:rPr>
              <w:t>1.组织的岗位、职责和权限，</w:t>
            </w:r>
          </w:p>
          <w:p>
            <w:pPr>
              <w:pStyle w:val="7"/>
              <w:ind w:left="0" w:leftChars="0" w:firstLine="0" w:firstLineChars="0"/>
              <w:rPr>
                <w:color w:val="auto"/>
              </w:rPr>
            </w:pPr>
            <w:r>
              <w:rPr>
                <w:rFonts w:hint="eastAsia"/>
                <w:color w:val="auto"/>
                <w:lang w:val="en-US" w:eastAsia="zh-CN"/>
              </w:rPr>
              <w:t>2.目标、能源指及其实现的策划</w:t>
            </w:r>
          </w:p>
        </w:tc>
        <w:tc>
          <w:tcPr>
            <w:tcW w:w="960" w:type="dxa"/>
          </w:tcPr>
          <w:p>
            <w:pPr>
              <w:rPr>
                <w:rFonts w:hint="eastAsia"/>
                <w:color w:val="auto"/>
                <w:lang w:val="en-US" w:eastAsia="zh-CN"/>
              </w:rPr>
            </w:pPr>
            <w:r>
              <w:rPr>
                <w:rFonts w:hint="eastAsia"/>
                <w:color w:val="auto"/>
                <w:lang w:val="en-US" w:eastAsia="zh-CN"/>
              </w:rPr>
              <w:t>5.3/6.2</w:t>
            </w:r>
          </w:p>
        </w:tc>
        <w:tc>
          <w:tcPr>
            <w:tcW w:w="10376" w:type="dxa"/>
          </w:tcPr>
          <w:p>
            <w:pPr>
              <w:rPr>
                <w:rFonts w:hint="eastAsia" w:ascii="Times New Roman" w:hAnsi="Times New Roman" w:eastAsia="宋体" w:cs="Times New Roman"/>
                <w:color w:val="auto"/>
                <w:szCs w:val="22"/>
                <w:lang w:val="en-US" w:eastAsia="zh-CN"/>
              </w:rPr>
            </w:pPr>
            <w:r>
              <w:rPr>
                <w:rFonts w:hint="eastAsia"/>
                <w:color w:val="auto"/>
                <w:lang w:val="en-US" w:eastAsia="zh-CN"/>
              </w:rPr>
              <w:t xml:space="preserve">   </w:t>
            </w:r>
            <w:r>
              <w:rPr>
                <w:rFonts w:hint="eastAsia" w:ascii="Times New Roman" w:hAnsi="Times New Roman" w:eastAsia="宋体" w:cs="Times New Roman"/>
                <w:color w:val="auto"/>
                <w:szCs w:val="22"/>
                <w:lang w:val="en-US" w:eastAsia="zh-CN"/>
              </w:rPr>
              <w:t xml:space="preserve"> </w:t>
            </w:r>
            <w:r>
              <w:rPr>
                <w:rFonts w:hint="eastAsia"/>
                <w:color w:val="auto"/>
                <w:lang w:val="en-US" w:eastAsia="zh-CN"/>
              </w:rPr>
              <w:t>提供《JXNHBA/QP-03</w:t>
            </w:r>
            <w:r>
              <w:rPr>
                <w:rFonts w:hint="eastAsia"/>
                <w:color w:val="auto"/>
                <w:lang w:val="en-US" w:eastAsia="zh-CN"/>
              </w:rPr>
              <w:tab/>
            </w:r>
            <w:r>
              <w:rPr>
                <w:rFonts w:hint="eastAsia"/>
                <w:color w:val="auto"/>
                <w:lang w:val="en-US" w:eastAsia="zh-CN"/>
              </w:rPr>
              <w:t>目标、指标的制定控制程序》，有编审批，符合标准要求。</w:t>
            </w:r>
          </w:p>
          <w:p>
            <w:pPr>
              <w:ind w:firstLine="420" w:firstLineChars="200"/>
              <w:rPr>
                <w:rFonts w:hint="default"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1、</w:t>
            </w:r>
            <w:r>
              <w:rPr>
                <w:rFonts w:hint="eastAsia" w:cs="Times New Roman"/>
                <w:color w:val="auto"/>
                <w:szCs w:val="22"/>
                <w:lang w:val="en-US" w:eastAsia="zh-CN"/>
              </w:rPr>
              <w:t>市场部</w:t>
            </w:r>
            <w:r>
              <w:rPr>
                <w:rFonts w:hint="eastAsia" w:ascii="Times New Roman" w:hAnsi="Times New Roman" w:eastAsia="宋体" w:cs="Times New Roman"/>
                <w:color w:val="auto"/>
                <w:szCs w:val="22"/>
                <w:lang w:val="en-US" w:eastAsia="zh-CN"/>
              </w:rPr>
              <w:t>：主管领导：</w:t>
            </w:r>
            <w:r>
              <w:rPr>
                <w:rFonts w:hint="eastAsia" w:cs="Times New Roman"/>
                <w:color w:val="auto"/>
                <w:szCs w:val="22"/>
                <w:lang w:val="en-US" w:eastAsia="zh-CN"/>
              </w:rPr>
              <w:t>胡君</w:t>
            </w:r>
            <w:r>
              <w:rPr>
                <w:rFonts w:hint="eastAsia" w:ascii="Times New Roman" w:hAnsi="Times New Roman" w:eastAsia="宋体" w:cs="Times New Roman"/>
                <w:color w:val="auto"/>
                <w:szCs w:val="22"/>
                <w:lang w:val="en-US" w:eastAsia="zh-CN"/>
              </w:rPr>
              <w:t>，</w:t>
            </w:r>
            <w:r>
              <w:rPr>
                <w:rFonts w:hint="eastAsia" w:cs="Times New Roman"/>
                <w:color w:val="auto"/>
                <w:szCs w:val="22"/>
                <w:lang w:val="en-US" w:eastAsia="zh-CN"/>
              </w:rPr>
              <w:t>共3人</w:t>
            </w:r>
            <w:r>
              <w:rPr>
                <w:rFonts w:hint="eastAsia" w:ascii="Times New Roman" w:hAnsi="Times New Roman" w:eastAsia="宋体" w:cs="Times New Roman"/>
                <w:color w:val="auto"/>
                <w:szCs w:val="22"/>
                <w:lang w:val="en-US" w:eastAsia="zh-CN"/>
              </w:rPr>
              <w:t>。</w:t>
            </w:r>
          </w:p>
          <w:p>
            <w:pPr>
              <w:ind w:firstLine="420" w:firstLineChars="200"/>
              <w:rPr>
                <w:rFonts w:hint="eastAsia"/>
                <w:color w:val="auto"/>
                <w:szCs w:val="22"/>
                <w:lang w:val="en-US" w:eastAsia="zh-CN"/>
              </w:rPr>
            </w:pPr>
            <w:r>
              <w:rPr>
                <w:rFonts w:hint="eastAsia"/>
                <w:color w:val="auto"/>
                <w:szCs w:val="22"/>
                <w:lang w:val="en-US" w:eastAsia="zh-CN"/>
              </w:rPr>
              <w:t xml:space="preserve">部门能源职责：（1）制订年度国内销售计划，落实年度销售目标； </w:t>
            </w:r>
          </w:p>
          <w:p>
            <w:pPr>
              <w:ind w:firstLine="420" w:firstLineChars="200"/>
              <w:rPr>
                <w:rFonts w:hint="eastAsia"/>
                <w:color w:val="auto"/>
                <w:szCs w:val="22"/>
                <w:lang w:val="en-US" w:eastAsia="zh-CN"/>
              </w:rPr>
            </w:pPr>
            <w:r>
              <w:rPr>
                <w:rFonts w:hint="eastAsia"/>
                <w:color w:val="auto"/>
                <w:szCs w:val="22"/>
                <w:lang w:val="en-US" w:eastAsia="zh-CN"/>
              </w:rPr>
              <w:t xml:space="preserve">（2）提供产品样本、宣传企业和产品、接待客户、做好售前服务； </w:t>
            </w:r>
          </w:p>
          <w:p>
            <w:pPr>
              <w:ind w:firstLine="420" w:firstLineChars="200"/>
              <w:rPr>
                <w:rFonts w:hint="eastAsia"/>
                <w:color w:val="auto"/>
                <w:szCs w:val="22"/>
                <w:lang w:val="en-US" w:eastAsia="zh-CN"/>
              </w:rPr>
            </w:pPr>
            <w:r>
              <w:rPr>
                <w:rFonts w:hint="eastAsia"/>
                <w:color w:val="auto"/>
                <w:szCs w:val="22"/>
                <w:lang w:val="en-US" w:eastAsia="zh-CN"/>
              </w:rPr>
              <w:t xml:space="preserve">（3）组织合同评审、对内销合同的质量负责； </w:t>
            </w:r>
          </w:p>
          <w:p>
            <w:pPr>
              <w:ind w:firstLine="420" w:firstLineChars="200"/>
              <w:rPr>
                <w:rFonts w:hint="eastAsia"/>
                <w:color w:val="auto"/>
                <w:szCs w:val="22"/>
                <w:lang w:val="en-US" w:eastAsia="zh-CN"/>
              </w:rPr>
            </w:pPr>
            <w:r>
              <w:rPr>
                <w:rFonts w:hint="eastAsia"/>
                <w:color w:val="auto"/>
                <w:szCs w:val="22"/>
                <w:lang w:val="en-US" w:eastAsia="zh-CN"/>
              </w:rPr>
              <w:t xml:space="preserve">（4）负责内销项目的报价、制作投标文件； </w:t>
            </w:r>
          </w:p>
          <w:p>
            <w:pPr>
              <w:ind w:firstLine="420" w:firstLineChars="200"/>
              <w:rPr>
                <w:rFonts w:hint="eastAsia"/>
                <w:color w:val="auto"/>
                <w:szCs w:val="22"/>
                <w:lang w:val="en-US" w:eastAsia="zh-CN"/>
              </w:rPr>
            </w:pPr>
            <w:r>
              <w:rPr>
                <w:rFonts w:hint="eastAsia"/>
                <w:color w:val="auto"/>
                <w:szCs w:val="22"/>
                <w:lang w:val="en-US" w:eastAsia="zh-CN"/>
              </w:rPr>
              <w:t xml:space="preserve">（5）销售合同（含改造合同）处理，按合同履行要求提出投产建议， 并控制交货期进度，提出发货指令； </w:t>
            </w:r>
          </w:p>
          <w:p>
            <w:pPr>
              <w:ind w:firstLine="420" w:firstLineChars="200"/>
              <w:rPr>
                <w:rFonts w:hint="eastAsia"/>
                <w:color w:val="auto"/>
                <w:szCs w:val="22"/>
                <w:lang w:val="en-US" w:eastAsia="zh-CN"/>
              </w:rPr>
            </w:pPr>
            <w:r>
              <w:rPr>
                <w:rFonts w:hint="eastAsia"/>
                <w:color w:val="auto"/>
                <w:szCs w:val="22"/>
                <w:lang w:val="en-US" w:eastAsia="zh-CN"/>
              </w:rPr>
              <w:t xml:space="preserve">（6）定期对内销合同的统计及来访客户的统计； </w:t>
            </w:r>
          </w:p>
          <w:p>
            <w:pPr>
              <w:ind w:firstLine="420" w:firstLineChars="200"/>
              <w:rPr>
                <w:rFonts w:hint="eastAsia"/>
                <w:color w:val="auto"/>
                <w:szCs w:val="22"/>
                <w:lang w:val="en-US" w:eastAsia="zh-CN"/>
              </w:rPr>
            </w:pPr>
            <w:r>
              <w:rPr>
                <w:rFonts w:hint="eastAsia"/>
                <w:color w:val="auto"/>
                <w:szCs w:val="22"/>
                <w:lang w:val="en-US" w:eastAsia="zh-CN"/>
              </w:rPr>
              <w:t xml:space="preserve">（7）建立客户档案，反馈用户信息，管理客户资料； </w:t>
            </w:r>
          </w:p>
          <w:p>
            <w:pPr>
              <w:ind w:firstLine="420" w:firstLineChars="200"/>
              <w:rPr>
                <w:rFonts w:hint="eastAsia"/>
                <w:color w:val="auto"/>
                <w:szCs w:val="22"/>
                <w:lang w:val="en-US" w:eastAsia="zh-CN"/>
              </w:rPr>
            </w:pPr>
            <w:r>
              <w:rPr>
                <w:rFonts w:hint="eastAsia"/>
                <w:color w:val="auto"/>
                <w:szCs w:val="22"/>
                <w:lang w:val="en-US" w:eastAsia="zh-CN"/>
              </w:rPr>
              <w:t xml:space="preserve">（8）按合同回收货款、并做好应收款管理工作； </w:t>
            </w:r>
          </w:p>
          <w:p>
            <w:pPr>
              <w:ind w:firstLine="420" w:firstLineChars="200"/>
              <w:rPr>
                <w:rFonts w:hint="eastAsia"/>
                <w:color w:val="auto"/>
                <w:szCs w:val="22"/>
                <w:lang w:val="en-US" w:eastAsia="zh-CN"/>
              </w:rPr>
            </w:pPr>
            <w:r>
              <w:rPr>
                <w:rFonts w:hint="eastAsia"/>
                <w:color w:val="auto"/>
                <w:szCs w:val="22"/>
                <w:lang w:val="en-US" w:eastAsia="zh-CN"/>
              </w:rPr>
              <w:t xml:space="preserve">（9）实施对国内销售网点（代理商）业务支持指导和管理； </w:t>
            </w:r>
          </w:p>
          <w:p>
            <w:pPr>
              <w:ind w:firstLine="420" w:firstLineChars="200"/>
              <w:rPr>
                <w:rFonts w:hint="eastAsia"/>
                <w:color w:val="auto"/>
                <w:szCs w:val="22"/>
                <w:lang w:val="en-US" w:eastAsia="zh-CN"/>
              </w:rPr>
            </w:pPr>
            <w:r>
              <w:rPr>
                <w:rFonts w:hint="eastAsia"/>
                <w:color w:val="auto"/>
                <w:szCs w:val="22"/>
                <w:lang w:val="en-US" w:eastAsia="zh-CN"/>
              </w:rPr>
              <w:t xml:space="preserve">（10）制定与调整产品内销价格； </w:t>
            </w:r>
          </w:p>
          <w:p>
            <w:pPr>
              <w:ind w:firstLine="420" w:firstLineChars="200"/>
              <w:rPr>
                <w:rFonts w:hint="eastAsia"/>
                <w:color w:val="auto"/>
                <w:szCs w:val="22"/>
                <w:lang w:val="en-US" w:eastAsia="zh-CN"/>
              </w:rPr>
            </w:pPr>
            <w:r>
              <w:rPr>
                <w:rFonts w:hint="eastAsia"/>
                <w:color w:val="auto"/>
                <w:szCs w:val="22"/>
                <w:lang w:val="en-US" w:eastAsia="zh-CN"/>
              </w:rPr>
              <w:t xml:space="preserve">（11）做好本部门 5S 和安全管理工作； </w:t>
            </w:r>
          </w:p>
          <w:p>
            <w:pPr>
              <w:ind w:firstLine="420" w:firstLineChars="200"/>
              <w:rPr>
                <w:rFonts w:hint="eastAsia"/>
                <w:color w:val="auto"/>
                <w:szCs w:val="22"/>
                <w:lang w:val="en-US" w:eastAsia="zh-CN"/>
              </w:rPr>
            </w:pPr>
            <w:r>
              <w:rPr>
                <w:rFonts w:hint="eastAsia"/>
                <w:color w:val="auto"/>
                <w:szCs w:val="22"/>
                <w:lang w:val="en-US" w:eastAsia="zh-CN"/>
              </w:rPr>
              <w:t>（12）做好上级交办的其他工作。</w:t>
            </w:r>
          </w:p>
          <w:p>
            <w:pPr>
              <w:ind w:firstLine="420" w:firstLineChars="200"/>
              <w:rPr>
                <w:rFonts w:hint="default"/>
                <w:color w:val="auto"/>
                <w:szCs w:val="22"/>
                <w:lang w:val="en-US" w:eastAsia="zh-CN"/>
              </w:rPr>
            </w:pPr>
            <w:r>
              <w:rPr>
                <w:rFonts w:hint="eastAsia"/>
                <w:color w:val="auto"/>
                <w:szCs w:val="22"/>
                <w:lang w:val="en-US" w:eastAsia="zh-CN"/>
              </w:rPr>
              <w:t>2、提供</w:t>
            </w:r>
            <w:r>
              <w:rPr>
                <w:rFonts w:hint="eastAsia"/>
                <w:color w:val="auto"/>
                <w:lang w:val="en-US" w:eastAsia="zh-CN"/>
              </w:rPr>
              <w:t>市场部</w:t>
            </w:r>
            <w:r>
              <w:rPr>
                <w:rFonts w:hint="eastAsia"/>
                <w:color w:val="auto"/>
                <w:szCs w:val="22"/>
                <w:lang w:val="en-US" w:eastAsia="zh-CN"/>
              </w:rPr>
              <w:t>能源管理目标是：</w:t>
            </w:r>
            <w:r>
              <w:rPr>
                <w:rFonts w:hint="eastAsia"/>
                <w:color w:val="auto"/>
                <w:lang w:val="en-US" w:eastAsia="zh-CN"/>
              </w:rPr>
              <w:t>查阅近期的考核记录全部完成。</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lang w:eastAsia="zh-CN"/>
              </w:rPr>
            </w:pPr>
            <w:r>
              <w:rPr>
                <w:color w:val="auto"/>
              </w:rPr>
              <w:drawing>
                <wp:inline distT="0" distB="0" distL="114300" distR="114300">
                  <wp:extent cx="3143250" cy="1108075"/>
                  <wp:effectExtent l="0" t="0" r="6350" b="952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30"/>
                          <a:stretch>
                            <a:fillRect/>
                          </a:stretch>
                        </pic:blipFill>
                        <pic:spPr>
                          <a:xfrm>
                            <a:off x="0" y="0"/>
                            <a:ext cx="3143250" cy="1108075"/>
                          </a:xfrm>
                          <a:prstGeom prst="rect">
                            <a:avLst/>
                          </a:prstGeom>
                          <a:noFill/>
                          <a:ln>
                            <a:noFill/>
                          </a:ln>
                        </pic:spPr>
                      </pic:pic>
                    </a:graphicData>
                  </a:graphic>
                </wp:inline>
              </w:drawing>
            </w: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0" w:hRule="atLeast"/>
        </w:trPr>
        <w:tc>
          <w:tcPr>
            <w:tcW w:w="2160" w:type="dxa"/>
          </w:tcPr>
          <w:p>
            <w:pPr>
              <w:numPr>
                <w:ilvl w:val="0"/>
                <w:numId w:val="0"/>
              </w:numPr>
              <w:rPr>
                <w:rFonts w:hint="eastAsia"/>
                <w:color w:val="auto"/>
                <w:lang w:val="en-US" w:eastAsia="zh-CN"/>
              </w:rPr>
            </w:pPr>
            <w:r>
              <w:rPr>
                <w:rFonts w:hint="eastAsia"/>
                <w:color w:val="auto"/>
                <w:lang w:val="en-US" w:eastAsia="zh-CN"/>
              </w:rPr>
              <w:t>3.</w:t>
            </w:r>
            <w:r>
              <w:rPr>
                <w:rFonts w:hint="eastAsia"/>
                <w:color w:val="auto"/>
              </w:rPr>
              <w:t>运行的策划和控制</w:t>
            </w:r>
            <w:r>
              <w:rPr>
                <w:rFonts w:hint="eastAsia"/>
                <w:color w:val="auto"/>
                <w:lang w:val="en-US" w:eastAsia="zh-CN"/>
              </w:rPr>
              <w:t>；</w:t>
            </w:r>
          </w:p>
          <w:p>
            <w:pPr>
              <w:rPr>
                <w:rFonts w:hint="eastAsia" w:ascii="宋体" w:hAnsi="宋体" w:eastAsia="宋体" w:cs="Times New Roman"/>
                <w:color w:val="auto"/>
                <w:sz w:val="21"/>
                <w:szCs w:val="21"/>
                <w:lang w:val="en-US" w:eastAsia="zh-CN"/>
              </w:rPr>
            </w:pPr>
            <w:r>
              <w:rPr>
                <w:rFonts w:hint="eastAsia"/>
                <w:color w:val="auto"/>
                <w:lang w:val="en-US" w:eastAsia="zh-CN"/>
              </w:rPr>
              <w:t>4.</w:t>
            </w:r>
            <w:r>
              <w:rPr>
                <w:rFonts w:hint="eastAsia" w:ascii="宋体" w:hAnsi="宋体" w:eastAsia="宋体" w:cs="Times New Roman"/>
                <w:color w:val="auto"/>
                <w:sz w:val="21"/>
                <w:szCs w:val="21"/>
              </w:rPr>
              <w:t>不符合与纠正措施</w:t>
            </w:r>
            <w:r>
              <w:rPr>
                <w:rFonts w:hint="eastAsia" w:ascii="宋体" w:hAnsi="宋体" w:eastAsia="宋体" w:cs="Times New Roman"/>
                <w:color w:val="auto"/>
                <w:sz w:val="21"/>
                <w:szCs w:val="21"/>
                <w:lang w:val="en-US" w:eastAsia="zh-CN"/>
              </w:rPr>
              <w:t>。</w:t>
            </w:r>
          </w:p>
        </w:tc>
        <w:tc>
          <w:tcPr>
            <w:tcW w:w="960" w:type="dxa"/>
          </w:tcPr>
          <w:p>
            <w:pPr>
              <w:rPr>
                <w:rFonts w:hint="eastAsia"/>
                <w:color w:val="auto"/>
                <w:lang w:val="en-US" w:eastAsia="zh-CN"/>
              </w:rPr>
            </w:pPr>
            <w:r>
              <w:rPr>
                <w:rFonts w:hint="eastAsia"/>
                <w:color w:val="auto"/>
                <w:lang w:val="en-US" w:eastAsia="zh-CN"/>
              </w:rPr>
              <w:t>8.1/</w:t>
            </w:r>
          </w:p>
          <w:p>
            <w:pPr>
              <w:rPr>
                <w:rFonts w:hint="default"/>
                <w:color w:val="auto"/>
                <w:lang w:val="en-US" w:eastAsia="zh-CN"/>
              </w:rPr>
            </w:pPr>
            <w:r>
              <w:rPr>
                <w:rFonts w:hint="eastAsia"/>
                <w:color w:val="auto"/>
                <w:lang w:val="en-US" w:eastAsia="zh-CN"/>
              </w:rPr>
              <w:t>10.1</w:t>
            </w:r>
          </w:p>
        </w:tc>
        <w:tc>
          <w:tcPr>
            <w:tcW w:w="10376" w:type="dxa"/>
          </w:tcPr>
          <w:p>
            <w:pPr>
              <w:ind w:firstLine="420" w:firstLineChars="200"/>
              <w:rPr>
                <w:rFonts w:hint="default"/>
                <w:color w:val="auto"/>
                <w:szCs w:val="22"/>
                <w:lang w:val="en-US" w:eastAsia="zh-CN"/>
              </w:rPr>
            </w:pPr>
            <w:r>
              <w:rPr>
                <w:rFonts w:hint="eastAsia"/>
                <w:color w:val="auto"/>
                <w:szCs w:val="22"/>
                <w:lang w:val="en-US" w:eastAsia="zh-CN"/>
              </w:rPr>
              <w:t>一、提供文件化信息：《能源管理手册》《程序文件清单》主要有《JXNHBA/QP-15能源服务、产品、设备和能源采购控制程序》《 JXNHBA/QP-18监视和测量控制程序》《JXNHBA/QP-22不符合、纠正、改进措施程序》《Q/NHBA 209.1-2021-A/0合同管理制度》《Q/NHBA 303.3-2021-A/0客户投诉处理规范》《Q/NHBA 304.2-2021-A/0</w:t>
            </w:r>
            <w:r>
              <w:rPr>
                <w:rFonts w:hint="eastAsia"/>
                <w:color w:val="auto"/>
                <w:szCs w:val="22"/>
                <w:lang w:val="en-US" w:eastAsia="zh-CN"/>
              </w:rPr>
              <w:tab/>
            </w:r>
            <w:r>
              <w:rPr>
                <w:rFonts w:hint="eastAsia"/>
                <w:color w:val="auto"/>
                <w:szCs w:val="22"/>
                <w:lang w:val="en-US" w:eastAsia="zh-CN"/>
              </w:rPr>
              <w:t>客户开发与维护管理规范》《Q/NHBA 304.3-2021-A/0安保项目投标管理规范》。</w:t>
            </w:r>
          </w:p>
          <w:p>
            <w:pPr>
              <w:ind w:firstLine="420" w:firstLineChars="200"/>
              <w:rPr>
                <w:rFonts w:hint="eastAsia"/>
                <w:color w:val="auto"/>
                <w:szCs w:val="22"/>
                <w:lang w:val="en-US" w:eastAsia="zh-CN"/>
              </w:rPr>
            </w:pPr>
            <w:r>
              <w:rPr>
                <w:rFonts w:hint="eastAsia"/>
                <w:color w:val="auto"/>
                <w:szCs w:val="22"/>
                <w:lang w:val="en-US" w:eastAsia="zh-CN"/>
              </w:rPr>
              <w:t>公司规定了为了及时纠正在能源管理体系运行中发现的不符合，采取有效的纠正措施与预防措施，减少对物业管理服务经营活动的影响，避免不符合的再次发生。</w:t>
            </w:r>
          </w:p>
          <w:p>
            <w:pPr>
              <w:ind w:firstLine="420" w:firstLineChars="200"/>
              <w:rPr>
                <w:rFonts w:hint="eastAsia"/>
                <w:color w:val="auto"/>
                <w:szCs w:val="22"/>
                <w:lang w:val="en-US" w:eastAsia="zh-CN"/>
              </w:rPr>
            </w:pPr>
            <w:r>
              <w:rPr>
                <w:rFonts w:hint="eastAsia"/>
                <w:color w:val="auto"/>
                <w:szCs w:val="22"/>
                <w:lang w:val="en-US" w:eastAsia="zh-CN"/>
              </w:rPr>
              <w:t>二、办公场所杜绝长明灯、长流水，电脑不适用时处于待机状态。夏季气温超过32℃方可开启空调，制冷温度设置不低于25℃；冬季气温低于5℃方可使用，制热温度设置不高于25℃。</w:t>
            </w:r>
          </w:p>
          <w:p>
            <w:pPr>
              <w:ind w:firstLine="420" w:firstLineChars="200"/>
              <w:rPr>
                <w:rFonts w:hint="eastAsia"/>
                <w:color w:val="auto"/>
                <w:szCs w:val="22"/>
                <w:lang w:val="en-US" w:eastAsia="zh-CN"/>
              </w:rPr>
            </w:pPr>
            <w:r>
              <w:rPr>
                <w:rFonts w:hint="eastAsia"/>
                <w:color w:val="auto"/>
                <w:szCs w:val="22"/>
                <w:lang w:val="en-US" w:eastAsia="zh-CN"/>
              </w:rPr>
              <w:t>办公区张贴节约用电和节约用水的宣传标识。能够做到人走灯息。</w:t>
            </w:r>
          </w:p>
          <w:p>
            <w:pPr>
              <w:ind w:firstLine="420" w:firstLineChars="200"/>
              <w:rPr>
                <w:rFonts w:hint="default"/>
                <w:color w:val="auto"/>
                <w:szCs w:val="22"/>
                <w:lang w:val="en-US" w:eastAsia="zh-CN"/>
              </w:rPr>
            </w:pPr>
            <w:r>
              <w:rPr>
                <w:rFonts w:hint="eastAsia"/>
                <w:color w:val="auto"/>
                <w:szCs w:val="22"/>
                <w:lang w:val="en-US" w:eastAsia="zh-CN"/>
              </w:rPr>
              <w:t>三、市场部提供《物业服务合同》，2022-7-1至2025-6-30，共867户，101784.69平方米。</w:t>
            </w:r>
          </w:p>
          <w:p>
            <w:pPr>
              <w:ind w:firstLine="420" w:firstLineChars="200"/>
              <w:rPr>
                <w:rFonts w:hint="eastAsia"/>
                <w:color w:val="auto"/>
                <w:szCs w:val="22"/>
                <w:lang w:val="en-US" w:eastAsia="zh-CN"/>
              </w:rPr>
            </w:pPr>
            <w:r>
              <w:rPr>
                <w:rFonts w:hint="eastAsia"/>
                <w:color w:val="auto"/>
                <w:szCs w:val="22"/>
                <w:lang w:val="en-US" w:eastAsia="zh-CN"/>
              </w:rPr>
              <w:drawing>
                <wp:inline distT="0" distB="0" distL="114300" distR="114300">
                  <wp:extent cx="1545590" cy="2208530"/>
                  <wp:effectExtent l="0" t="0" r="3810" b="127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31"/>
                          <a:stretch>
                            <a:fillRect/>
                          </a:stretch>
                        </pic:blipFill>
                        <pic:spPr>
                          <a:xfrm>
                            <a:off x="0" y="0"/>
                            <a:ext cx="1545590" cy="2208530"/>
                          </a:xfrm>
                          <a:prstGeom prst="rect">
                            <a:avLst/>
                          </a:prstGeom>
                          <a:noFill/>
                          <a:ln>
                            <a:noFill/>
                          </a:ln>
                        </pic:spPr>
                      </pic:pic>
                    </a:graphicData>
                  </a:graphic>
                </wp:inline>
              </w:drawing>
            </w:r>
            <w:r>
              <w:rPr>
                <w:rFonts w:hint="eastAsia"/>
                <w:color w:val="auto"/>
                <w:szCs w:val="22"/>
                <w:lang w:val="en-US" w:eastAsia="zh-CN"/>
              </w:rPr>
              <w:t xml:space="preserve"> </w:t>
            </w:r>
            <w:r>
              <w:rPr>
                <w:rFonts w:hint="eastAsia"/>
                <w:color w:val="auto"/>
                <w:szCs w:val="22"/>
                <w:lang w:val="en-US" w:eastAsia="zh-CN"/>
              </w:rPr>
              <w:drawing>
                <wp:inline distT="0" distB="0" distL="114300" distR="114300">
                  <wp:extent cx="1513205" cy="2230120"/>
                  <wp:effectExtent l="0" t="0" r="10795" b="508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32"/>
                          <a:stretch>
                            <a:fillRect/>
                          </a:stretch>
                        </pic:blipFill>
                        <pic:spPr>
                          <a:xfrm>
                            <a:off x="0" y="0"/>
                            <a:ext cx="1513205" cy="2230120"/>
                          </a:xfrm>
                          <a:prstGeom prst="rect">
                            <a:avLst/>
                          </a:prstGeom>
                          <a:noFill/>
                          <a:ln>
                            <a:noFill/>
                          </a:ln>
                        </pic:spPr>
                      </pic:pic>
                    </a:graphicData>
                  </a:graphic>
                </wp:inline>
              </w:drawing>
            </w:r>
            <w:r>
              <w:rPr>
                <w:rFonts w:hint="eastAsia"/>
                <w:color w:val="auto"/>
                <w:szCs w:val="22"/>
                <w:lang w:val="en-US" w:eastAsia="zh-CN"/>
              </w:rPr>
              <w:t xml:space="preserve"> </w:t>
            </w:r>
            <w:r>
              <w:rPr>
                <w:rFonts w:hint="eastAsia"/>
                <w:color w:val="auto"/>
                <w:szCs w:val="22"/>
                <w:lang w:val="en-US" w:eastAsia="zh-CN"/>
              </w:rPr>
              <w:drawing>
                <wp:inline distT="0" distB="0" distL="114300" distR="114300">
                  <wp:extent cx="1490345" cy="2205990"/>
                  <wp:effectExtent l="0" t="0" r="8255" b="381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3"/>
                          <a:stretch>
                            <a:fillRect/>
                          </a:stretch>
                        </pic:blipFill>
                        <pic:spPr>
                          <a:xfrm>
                            <a:off x="0" y="0"/>
                            <a:ext cx="1490345" cy="2205990"/>
                          </a:xfrm>
                          <a:prstGeom prst="rect">
                            <a:avLst/>
                          </a:prstGeom>
                          <a:noFill/>
                          <a:ln>
                            <a:noFill/>
                          </a:ln>
                        </pic:spPr>
                      </pic:pic>
                    </a:graphicData>
                  </a:graphic>
                </wp:inline>
              </w:drawing>
            </w:r>
            <w:r>
              <w:rPr>
                <w:rFonts w:hint="eastAsia"/>
                <w:color w:val="auto"/>
                <w:szCs w:val="22"/>
                <w:lang w:val="en-US" w:eastAsia="zh-CN"/>
              </w:rPr>
              <w:drawing>
                <wp:inline distT="0" distB="0" distL="114300" distR="114300">
                  <wp:extent cx="1379855" cy="2185035"/>
                  <wp:effectExtent l="0" t="0" r="4445" b="1206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34"/>
                          <a:stretch>
                            <a:fillRect/>
                          </a:stretch>
                        </pic:blipFill>
                        <pic:spPr>
                          <a:xfrm>
                            <a:off x="0" y="0"/>
                            <a:ext cx="1379855" cy="2185035"/>
                          </a:xfrm>
                          <a:prstGeom prst="rect">
                            <a:avLst/>
                          </a:prstGeom>
                          <a:noFill/>
                          <a:ln>
                            <a:noFill/>
                          </a:ln>
                        </pic:spPr>
                      </pic:pic>
                    </a:graphicData>
                  </a:graphic>
                </wp:inline>
              </w:drawing>
            </w:r>
          </w:p>
          <w:p>
            <w:pPr>
              <w:pStyle w:val="3"/>
              <w:rPr>
                <w:rFonts w:hint="eastAsia"/>
                <w:color w:val="auto"/>
                <w:szCs w:val="22"/>
                <w:lang w:val="en-US" w:eastAsia="zh-CN"/>
              </w:rPr>
            </w:pPr>
          </w:p>
          <w:p>
            <w:pPr>
              <w:pStyle w:val="3"/>
              <w:ind w:left="0" w:leftChars="0" w:firstLine="0" w:firstLineChars="0"/>
              <w:rPr>
                <w:rFonts w:hint="default"/>
                <w:color w:val="auto"/>
                <w:sz w:val="21"/>
                <w:szCs w:val="21"/>
                <w:lang w:val="en-US" w:eastAsia="zh-CN"/>
              </w:rPr>
            </w:pPr>
            <w:r>
              <w:rPr>
                <w:rFonts w:hint="eastAsia"/>
                <w:color w:val="auto"/>
                <w:sz w:val="21"/>
                <w:szCs w:val="21"/>
                <w:lang w:val="en-US" w:eastAsia="zh-CN"/>
              </w:rPr>
              <w:t xml:space="preserve">     四、提供第三方《电梯日常维护保养合同》，自2022-7-1至2023-6-30</w:t>
            </w:r>
          </w:p>
          <w:p>
            <w:pPr>
              <w:pStyle w:val="3"/>
              <w:ind w:left="0" w:leftChars="0" w:firstLine="0" w:firstLineChars="0"/>
              <w:jc w:val="center"/>
              <w:rPr>
                <w:rFonts w:hint="eastAsia" w:eastAsia="宋体"/>
                <w:color w:val="auto"/>
                <w:sz w:val="21"/>
                <w:szCs w:val="21"/>
                <w:lang w:val="en-US" w:eastAsia="zh-CN"/>
              </w:rPr>
            </w:pPr>
            <w:r>
              <w:rPr>
                <w:color w:val="auto"/>
              </w:rPr>
              <w:drawing>
                <wp:inline distT="0" distB="0" distL="114300" distR="114300">
                  <wp:extent cx="2011045" cy="2795270"/>
                  <wp:effectExtent l="0" t="0" r="8255" b="1143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35"/>
                          <a:stretch>
                            <a:fillRect/>
                          </a:stretch>
                        </pic:blipFill>
                        <pic:spPr>
                          <a:xfrm>
                            <a:off x="0" y="0"/>
                            <a:ext cx="2011045" cy="2795270"/>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1916430" cy="3004820"/>
                  <wp:effectExtent l="0" t="0" r="1270" b="508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36"/>
                          <a:stretch>
                            <a:fillRect/>
                          </a:stretch>
                        </pic:blipFill>
                        <pic:spPr>
                          <a:xfrm>
                            <a:off x="0" y="0"/>
                            <a:ext cx="1916430" cy="3004820"/>
                          </a:xfrm>
                          <a:prstGeom prst="rect">
                            <a:avLst/>
                          </a:prstGeom>
                          <a:noFill/>
                          <a:ln>
                            <a:noFill/>
                          </a:ln>
                        </pic:spPr>
                      </pic:pic>
                    </a:graphicData>
                  </a:graphic>
                </wp:inline>
              </w:drawing>
            </w:r>
            <w:r>
              <w:rPr>
                <w:color w:val="auto"/>
              </w:rPr>
              <w:drawing>
                <wp:inline distT="0" distB="0" distL="114300" distR="114300">
                  <wp:extent cx="1988185" cy="2950210"/>
                  <wp:effectExtent l="0" t="0" r="5715" b="889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37"/>
                          <a:stretch>
                            <a:fillRect/>
                          </a:stretch>
                        </pic:blipFill>
                        <pic:spPr>
                          <a:xfrm>
                            <a:off x="0" y="0"/>
                            <a:ext cx="1988185" cy="2950210"/>
                          </a:xfrm>
                          <a:prstGeom prst="rect">
                            <a:avLst/>
                          </a:prstGeom>
                          <a:noFill/>
                          <a:ln>
                            <a:noFill/>
                          </a:ln>
                        </pic:spPr>
                      </pic:pic>
                    </a:graphicData>
                  </a:graphic>
                </wp:inline>
              </w:drawing>
            </w:r>
          </w:p>
          <w:p>
            <w:pPr>
              <w:pStyle w:val="3"/>
              <w:ind w:left="0" w:leftChars="0" w:firstLine="0" w:firstLineChars="0"/>
              <w:rPr>
                <w:rFonts w:hint="eastAsia"/>
                <w:color w:val="auto"/>
                <w:sz w:val="21"/>
                <w:szCs w:val="21"/>
                <w:lang w:val="en-US" w:eastAsia="zh-CN"/>
              </w:rPr>
            </w:pPr>
          </w:p>
          <w:p>
            <w:pPr>
              <w:pStyle w:val="3"/>
              <w:ind w:left="0" w:leftChars="0" w:firstLine="0" w:firstLineChars="0"/>
              <w:rPr>
                <w:rFonts w:hint="eastAsia"/>
                <w:color w:val="auto"/>
                <w:sz w:val="21"/>
                <w:szCs w:val="21"/>
                <w:lang w:val="en-US" w:eastAsia="zh-CN"/>
              </w:rPr>
            </w:pPr>
          </w:p>
        </w:tc>
        <w:tc>
          <w:tcPr>
            <w:tcW w:w="1213" w:type="dxa"/>
          </w:tcPr>
          <w:p>
            <w:pPr>
              <w:rPr>
                <w:rFonts w:hint="eastAsia" w:eastAsia="宋体"/>
                <w:color w:val="auto"/>
                <w:lang w:val="en-US" w:eastAsia="zh-CN"/>
              </w:rPr>
            </w:pPr>
            <w:r>
              <w:rPr>
                <w:rFonts w:hint="eastAsia"/>
                <w:color w:val="auto"/>
                <w:lang w:val="en-US" w:eastAsia="zh-CN"/>
              </w:rPr>
              <w:t>Y</w:t>
            </w: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tc>
      </w:tr>
    </w:tbl>
    <w:p>
      <w:pPr>
        <w:pStyle w:val="5"/>
        <w:rPr>
          <w:color w:val="auto"/>
        </w:rPr>
      </w:pPr>
      <w:r>
        <w:rPr>
          <w:rFonts w:hint="eastAsia"/>
          <w:color w:val="auto"/>
        </w:rPr>
        <w:t>说明：不符合标注N</w:t>
      </w:r>
    </w:p>
    <w:p>
      <w:pPr>
        <w:pStyle w:val="5"/>
        <w:rPr>
          <w:rFonts w:hint="eastAsia"/>
          <w:color w:val="000000" w:themeColor="text1"/>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59264" behindDoc="0" locked="0" layoutInCell="1" allowOverlap="1">
          <wp:simplePos x="0" y="0"/>
          <wp:positionH relativeFrom="column">
            <wp:posOffset>-12700</wp:posOffset>
          </wp:positionH>
          <wp:positionV relativeFrom="paragraph">
            <wp:posOffset>12065</wp:posOffset>
          </wp:positionV>
          <wp:extent cx="423545" cy="426720"/>
          <wp:effectExtent l="0" t="0" r="3175"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23545" cy="4267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7649210</wp:posOffset>
              </wp:positionH>
              <wp:positionV relativeFrom="paragraph">
                <wp:posOffset>139700</wp:posOffset>
              </wp:positionV>
              <wp:extent cx="1497965" cy="256540"/>
              <wp:effectExtent l="0" t="0" r="635" b="10160"/>
              <wp:wrapNone/>
              <wp:docPr id="37" name="文本框 1026"/>
              <wp:cNvGraphicFramePr/>
              <a:graphic xmlns:a="http://schemas.openxmlformats.org/drawingml/2006/main">
                <a:graphicData uri="http://schemas.microsoft.com/office/word/2010/wordprocessingShape">
                  <wps:wsp>
                    <wps:cNvSpPr txBox="1"/>
                    <wps:spPr>
                      <a:xfrm>
                        <a:off x="0" y="0"/>
                        <a:ext cx="1497965" cy="256540"/>
                      </a:xfrm>
                      <a:prstGeom prst="rect">
                        <a:avLst/>
                      </a:prstGeom>
                      <a:solidFill>
                        <a:srgbClr val="FFFFFF"/>
                      </a:solidFill>
                      <a:ln>
                        <a:noFill/>
                      </a:ln>
                    </wps:spPr>
                    <wps:txbx>
                      <w:txbxContent>
                        <w:p>
                          <w:pPr>
                            <w:rPr>
                              <w:sz w:val="18"/>
                              <w:szCs w:val="18"/>
                            </w:rPr>
                          </w:pPr>
                          <w:r>
                            <w:rPr>
                              <w:rFonts w:hint="eastAsia"/>
                              <w:sz w:val="18"/>
                              <w:szCs w:val="18"/>
                            </w:rPr>
                            <w:t>ISC-B-II-04(05版）</w:t>
                          </w:r>
                        </w:p>
                      </w:txbxContent>
                    </wps:txbx>
                    <wps:bodyPr upright="1"/>
                  </wps:wsp>
                </a:graphicData>
              </a:graphic>
            </wp:anchor>
          </w:drawing>
        </mc:Choice>
        <mc:Fallback>
          <w:pict>
            <v:shape id="文本框 1026" o:spid="_x0000_s1026" o:spt="202" type="#_x0000_t202" style="position:absolute;left:0pt;margin-left:602.3pt;margin-top:11pt;height:20.2pt;width:117.95pt;z-index:251660288;mso-width-relative:page;mso-height-relative:page;" fillcolor="#FFFFFF" filled="t" stroked="f" coordsize="21600,21600" o:gfxdata="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cqLQrXAAAACwEAAA8AAAAAAAAAAQAgAAAAIgAAAGRycy9kb3du&#10;cmV2LnhtbFBLAQIUABQAAAAIAIdO4kBaVcfRxwEAAHsDAAAOAAAAAAAAAAEAIAAAACYBAABkcnMv&#10;ZTJvRG9jLnhtbFBLBQYAAAAABgAGAFkBAABfBQAAAAA=&#10;">
              <v:fill on="t" focussize="0,0"/>
              <v:stroke on="f"/>
              <v:imagedata o:title=""/>
              <o:lock v:ext="edit" aspectratio="f"/>
              <v:textbox>
                <w:txbxContent>
                  <w:p>
                    <w:pPr>
                      <w:rPr>
                        <w:sz w:val="18"/>
                        <w:szCs w:val="18"/>
                      </w:rPr>
                    </w:pPr>
                    <w:r>
                      <w:rPr>
                        <w:rFonts w:hint="eastAsia"/>
                        <w:sz w:val="18"/>
                        <w:szCs w:val="18"/>
                      </w:rPr>
                      <w:t>ISC-B-II-04(05版）</w:t>
                    </w:r>
                  </w:p>
                </w:txbxContent>
              </v:textbox>
            </v:shape>
          </w:pict>
        </mc:Fallback>
      </mc:AlternateConten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6"/>
      <w:pBdr>
        <w:bottom w:val="none" w:color="auto" w:sz="0" w:space="1"/>
      </w:pBdr>
      <w:spacing w:line="320" w:lineRule="exact"/>
      <w:ind w:firstLine="756" w:firstLineChars="400"/>
      <w:jc w:val="left"/>
    </w:pPr>
    <w:r>
      <w:rPr>
        <w:rStyle w:val="14"/>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9A79DC8"/>
    <w:multiLevelType w:val="singleLevel"/>
    <w:tmpl w:val="F9A79DC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iODA1MTVjZDY1YTRkN2VmNmM5OWJkMjExYmM0YjQifQ=="/>
  </w:docVars>
  <w:rsids>
    <w:rsidRoot w:val="009973B4"/>
    <w:rsid w:val="000237F6"/>
    <w:rsid w:val="0003373A"/>
    <w:rsid w:val="000400E2"/>
    <w:rsid w:val="00062E46"/>
    <w:rsid w:val="000E6B21"/>
    <w:rsid w:val="001A2D7F"/>
    <w:rsid w:val="001B2B1C"/>
    <w:rsid w:val="002939AD"/>
    <w:rsid w:val="00314AF6"/>
    <w:rsid w:val="00337922"/>
    <w:rsid w:val="00340867"/>
    <w:rsid w:val="00370CAF"/>
    <w:rsid w:val="00380837"/>
    <w:rsid w:val="003A198A"/>
    <w:rsid w:val="00410914"/>
    <w:rsid w:val="00536930"/>
    <w:rsid w:val="00564E53"/>
    <w:rsid w:val="005D5659"/>
    <w:rsid w:val="00600C20"/>
    <w:rsid w:val="00644FE2"/>
    <w:rsid w:val="0067640C"/>
    <w:rsid w:val="006A10C1"/>
    <w:rsid w:val="006E678B"/>
    <w:rsid w:val="007757F3"/>
    <w:rsid w:val="007C1B48"/>
    <w:rsid w:val="007E6AEB"/>
    <w:rsid w:val="008973EE"/>
    <w:rsid w:val="00971600"/>
    <w:rsid w:val="009973B4"/>
    <w:rsid w:val="009C28C1"/>
    <w:rsid w:val="009F7EED"/>
    <w:rsid w:val="00A80636"/>
    <w:rsid w:val="00AF0AAB"/>
    <w:rsid w:val="00BF597E"/>
    <w:rsid w:val="00C51A36"/>
    <w:rsid w:val="00C55228"/>
    <w:rsid w:val="00C63768"/>
    <w:rsid w:val="00CE315A"/>
    <w:rsid w:val="00D06F59"/>
    <w:rsid w:val="00D8388C"/>
    <w:rsid w:val="00E6224C"/>
    <w:rsid w:val="00EB0164"/>
    <w:rsid w:val="00ED0F62"/>
    <w:rsid w:val="01A20B6F"/>
    <w:rsid w:val="01E30C0C"/>
    <w:rsid w:val="01F25A54"/>
    <w:rsid w:val="02497534"/>
    <w:rsid w:val="03B17E9F"/>
    <w:rsid w:val="047A2E43"/>
    <w:rsid w:val="047C23EE"/>
    <w:rsid w:val="04F069D1"/>
    <w:rsid w:val="050D2726"/>
    <w:rsid w:val="06D7205C"/>
    <w:rsid w:val="081F3552"/>
    <w:rsid w:val="08422B0C"/>
    <w:rsid w:val="08797894"/>
    <w:rsid w:val="091F7D6B"/>
    <w:rsid w:val="09E1024E"/>
    <w:rsid w:val="0A200CA9"/>
    <w:rsid w:val="0A216C7D"/>
    <w:rsid w:val="0A896FE9"/>
    <w:rsid w:val="0AFD3115"/>
    <w:rsid w:val="0B4E35B5"/>
    <w:rsid w:val="0B5F3AFA"/>
    <w:rsid w:val="0C7C448E"/>
    <w:rsid w:val="0CDB7F00"/>
    <w:rsid w:val="0D2D4B4A"/>
    <w:rsid w:val="0D7218A9"/>
    <w:rsid w:val="0DB735A4"/>
    <w:rsid w:val="0E1F5F68"/>
    <w:rsid w:val="0F3B12A6"/>
    <w:rsid w:val="0F590216"/>
    <w:rsid w:val="106C6179"/>
    <w:rsid w:val="108219C2"/>
    <w:rsid w:val="11CE14E0"/>
    <w:rsid w:val="138959E3"/>
    <w:rsid w:val="13B33BC9"/>
    <w:rsid w:val="13BD2BE4"/>
    <w:rsid w:val="147705EF"/>
    <w:rsid w:val="147941C0"/>
    <w:rsid w:val="14E340D5"/>
    <w:rsid w:val="1519238E"/>
    <w:rsid w:val="15556EA5"/>
    <w:rsid w:val="15B6526D"/>
    <w:rsid w:val="15B870CC"/>
    <w:rsid w:val="15DC4AE2"/>
    <w:rsid w:val="16B65069"/>
    <w:rsid w:val="16D974B1"/>
    <w:rsid w:val="17645581"/>
    <w:rsid w:val="178D388A"/>
    <w:rsid w:val="18572570"/>
    <w:rsid w:val="190F099B"/>
    <w:rsid w:val="1A7E2AF4"/>
    <w:rsid w:val="1AB47395"/>
    <w:rsid w:val="1ADD2EA8"/>
    <w:rsid w:val="1B46487E"/>
    <w:rsid w:val="1B6170A5"/>
    <w:rsid w:val="1B7976A8"/>
    <w:rsid w:val="1B881819"/>
    <w:rsid w:val="1B8C7176"/>
    <w:rsid w:val="1C75625B"/>
    <w:rsid w:val="1C8C17DD"/>
    <w:rsid w:val="1E056013"/>
    <w:rsid w:val="1E263064"/>
    <w:rsid w:val="1E27007F"/>
    <w:rsid w:val="1E286F45"/>
    <w:rsid w:val="1E3A3D1D"/>
    <w:rsid w:val="1E4246BE"/>
    <w:rsid w:val="1E873FE7"/>
    <w:rsid w:val="1F107A2E"/>
    <w:rsid w:val="1F771329"/>
    <w:rsid w:val="212345D6"/>
    <w:rsid w:val="219E4D4F"/>
    <w:rsid w:val="227A3683"/>
    <w:rsid w:val="22F54EA8"/>
    <w:rsid w:val="248C14D9"/>
    <w:rsid w:val="24F52E53"/>
    <w:rsid w:val="25722260"/>
    <w:rsid w:val="25A60F9D"/>
    <w:rsid w:val="25C6426F"/>
    <w:rsid w:val="25C975D3"/>
    <w:rsid w:val="25D01723"/>
    <w:rsid w:val="25D43F74"/>
    <w:rsid w:val="25F6279D"/>
    <w:rsid w:val="260E6499"/>
    <w:rsid w:val="26987CAB"/>
    <w:rsid w:val="26E50717"/>
    <w:rsid w:val="277D79BE"/>
    <w:rsid w:val="28312182"/>
    <w:rsid w:val="28EB77AF"/>
    <w:rsid w:val="29A21A71"/>
    <w:rsid w:val="29E318C1"/>
    <w:rsid w:val="2A766C51"/>
    <w:rsid w:val="2AAD74CC"/>
    <w:rsid w:val="2B0A438D"/>
    <w:rsid w:val="2B206E30"/>
    <w:rsid w:val="2B2F4819"/>
    <w:rsid w:val="2B5B1396"/>
    <w:rsid w:val="2BE71DC5"/>
    <w:rsid w:val="2C3103C0"/>
    <w:rsid w:val="2EB967C5"/>
    <w:rsid w:val="2F912599"/>
    <w:rsid w:val="2FC80233"/>
    <w:rsid w:val="318604A8"/>
    <w:rsid w:val="32334EAE"/>
    <w:rsid w:val="332C2F3D"/>
    <w:rsid w:val="33FB3C8E"/>
    <w:rsid w:val="347A765D"/>
    <w:rsid w:val="34B42186"/>
    <w:rsid w:val="34BA37F6"/>
    <w:rsid w:val="351F77BF"/>
    <w:rsid w:val="356B5308"/>
    <w:rsid w:val="35933FBA"/>
    <w:rsid w:val="35A8064D"/>
    <w:rsid w:val="361577F0"/>
    <w:rsid w:val="36174C78"/>
    <w:rsid w:val="36240FF0"/>
    <w:rsid w:val="36742059"/>
    <w:rsid w:val="36D844B9"/>
    <w:rsid w:val="374716A1"/>
    <w:rsid w:val="375E3132"/>
    <w:rsid w:val="38DC770D"/>
    <w:rsid w:val="393C56E6"/>
    <w:rsid w:val="39457815"/>
    <w:rsid w:val="39925D4F"/>
    <w:rsid w:val="3A8E705E"/>
    <w:rsid w:val="3AD4006D"/>
    <w:rsid w:val="3B2F152F"/>
    <w:rsid w:val="3C721706"/>
    <w:rsid w:val="3CD52507"/>
    <w:rsid w:val="3D4520CB"/>
    <w:rsid w:val="3D4E6C4D"/>
    <w:rsid w:val="3D507775"/>
    <w:rsid w:val="3E240FF8"/>
    <w:rsid w:val="3E2944F8"/>
    <w:rsid w:val="3E442815"/>
    <w:rsid w:val="3E4F4E3C"/>
    <w:rsid w:val="3EC252BA"/>
    <w:rsid w:val="3EED6F68"/>
    <w:rsid w:val="3F363088"/>
    <w:rsid w:val="3F655E33"/>
    <w:rsid w:val="3F8A37D7"/>
    <w:rsid w:val="3FEF0729"/>
    <w:rsid w:val="40E73C0B"/>
    <w:rsid w:val="418C6EA0"/>
    <w:rsid w:val="41A102B3"/>
    <w:rsid w:val="41D81C71"/>
    <w:rsid w:val="4201205B"/>
    <w:rsid w:val="430458CB"/>
    <w:rsid w:val="43C45188"/>
    <w:rsid w:val="43EA1BA4"/>
    <w:rsid w:val="441500E0"/>
    <w:rsid w:val="449E24B7"/>
    <w:rsid w:val="44C536CA"/>
    <w:rsid w:val="450827B4"/>
    <w:rsid w:val="4561639F"/>
    <w:rsid w:val="456613DE"/>
    <w:rsid w:val="45835A41"/>
    <w:rsid w:val="45DA444C"/>
    <w:rsid w:val="4610399C"/>
    <w:rsid w:val="46676C35"/>
    <w:rsid w:val="48FD6B4C"/>
    <w:rsid w:val="49A43C5D"/>
    <w:rsid w:val="4A0941CE"/>
    <w:rsid w:val="4A5D0A89"/>
    <w:rsid w:val="4A643F32"/>
    <w:rsid w:val="4AB51850"/>
    <w:rsid w:val="4AF0622A"/>
    <w:rsid w:val="4B1D16C3"/>
    <w:rsid w:val="4B3D5431"/>
    <w:rsid w:val="4B9E01F0"/>
    <w:rsid w:val="4BC14352"/>
    <w:rsid w:val="4C7C72A1"/>
    <w:rsid w:val="4C8654D1"/>
    <w:rsid w:val="4DE427FB"/>
    <w:rsid w:val="4E194E12"/>
    <w:rsid w:val="4E377A31"/>
    <w:rsid w:val="4F460E7A"/>
    <w:rsid w:val="4F6F138B"/>
    <w:rsid w:val="4F81273C"/>
    <w:rsid w:val="4FAC517C"/>
    <w:rsid w:val="4FFD1A67"/>
    <w:rsid w:val="50166B79"/>
    <w:rsid w:val="50762849"/>
    <w:rsid w:val="508939BE"/>
    <w:rsid w:val="510C5AF5"/>
    <w:rsid w:val="511B40AC"/>
    <w:rsid w:val="52F96DC6"/>
    <w:rsid w:val="53D34B71"/>
    <w:rsid w:val="568C3F73"/>
    <w:rsid w:val="568E01E7"/>
    <w:rsid w:val="56F0460D"/>
    <w:rsid w:val="56F15158"/>
    <w:rsid w:val="57714762"/>
    <w:rsid w:val="57900F32"/>
    <w:rsid w:val="57A0074D"/>
    <w:rsid w:val="585F1E3B"/>
    <w:rsid w:val="59062011"/>
    <w:rsid w:val="5A1D6551"/>
    <w:rsid w:val="5B99033C"/>
    <w:rsid w:val="5BA21581"/>
    <w:rsid w:val="5BFD0207"/>
    <w:rsid w:val="5C2E1802"/>
    <w:rsid w:val="5CAB44D2"/>
    <w:rsid w:val="5CC22B73"/>
    <w:rsid w:val="5DBA2483"/>
    <w:rsid w:val="5DE163BC"/>
    <w:rsid w:val="5DFE0F97"/>
    <w:rsid w:val="5E292A40"/>
    <w:rsid w:val="5EA12B9A"/>
    <w:rsid w:val="5EC27919"/>
    <w:rsid w:val="5F31209E"/>
    <w:rsid w:val="5F445EE1"/>
    <w:rsid w:val="5F5C13F0"/>
    <w:rsid w:val="60162460"/>
    <w:rsid w:val="609C6059"/>
    <w:rsid w:val="60D8693C"/>
    <w:rsid w:val="61EC1F58"/>
    <w:rsid w:val="620D4FC6"/>
    <w:rsid w:val="62175BC6"/>
    <w:rsid w:val="6298438A"/>
    <w:rsid w:val="62C55E6E"/>
    <w:rsid w:val="62F24F2F"/>
    <w:rsid w:val="63175BAC"/>
    <w:rsid w:val="634714D0"/>
    <w:rsid w:val="645F2B5D"/>
    <w:rsid w:val="650A78D6"/>
    <w:rsid w:val="663858E4"/>
    <w:rsid w:val="664A3CA3"/>
    <w:rsid w:val="666F4014"/>
    <w:rsid w:val="673A3673"/>
    <w:rsid w:val="684903CF"/>
    <w:rsid w:val="69196036"/>
    <w:rsid w:val="693F2356"/>
    <w:rsid w:val="69BA713D"/>
    <w:rsid w:val="69CD79CF"/>
    <w:rsid w:val="6C1279E0"/>
    <w:rsid w:val="6CA744C8"/>
    <w:rsid w:val="6CAA131E"/>
    <w:rsid w:val="6CEA2EF7"/>
    <w:rsid w:val="6D8D5B2D"/>
    <w:rsid w:val="6E26299D"/>
    <w:rsid w:val="6F04245B"/>
    <w:rsid w:val="6F765216"/>
    <w:rsid w:val="6F997ED1"/>
    <w:rsid w:val="70251764"/>
    <w:rsid w:val="70BC0C82"/>
    <w:rsid w:val="70FE0D10"/>
    <w:rsid w:val="7147513F"/>
    <w:rsid w:val="71523BBC"/>
    <w:rsid w:val="721A7BDD"/>
    <w:rsid w:val="7257141B"/>
    <w:rsid w:val="72587BCF"/>
    <w:rsid w:val="728A58AF"/>
    <w:rsid w:val="72A76656"/>
    <w:rsid w:val="742D63C8"/>
    <w:rsid w:val="747A1632"/>
    <w:rsid w:val="753266BC"/>
    <w:rsid w:val="755B6EB0"/>
    <w:rsid w:val="75623FC3"/>
    <w:rsid w:val="75F14F63"/>
    <w:rsid w:val="76025C13"/>
    <w:rsid w:val="765A5DFB"/>
    <w:rsid w:val="76AF40A0"/>
    <w:rsid w:val="77187E8F"/>
    <w:rsid w:val="778D1E8E"/>
    <w:rsid w:val="782F74B9"/>
    <w:rsid w:val="78B95828"/>
    <w:rsid w:val="78CB57AE"/>
    <w:rsid w:val="78E67034"/>
    <w:rsid w:val="790F4ED3"/>
    <w:rsid w:val="79102FB2"/>
    <w:rsid w:val="79807E6E"/>
    <w:rsid w:val="79CD2983"/>
    <w:rsid w:val="7AD6279A"/>
    <w:rsid w:val="7B19103B"/>
    <w:rsid w:val="7B243ADF"/>
    <w:rsid w:val="7B421755"/>
    <w:rsid w:val="7BDB243B"/>
    <w:rsid w:val="7CC16C5D"/>
    <w:rsid w:val="7D817139"/>
    <w:rsid w:val="7E155CD3"/>
    <w:rsid w:val="7E64683F"/>
    <w:rsid w:val="7ED31D30"/>
    <w:rsid w:val="7FB914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qFormat/>
    <w:uiPriority w:val="0"/>
    <w:rPr>
      <w:rFonts w:eastAsia="华文细黑"/>
      <w:sz w:val="24"/>
    </w:r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table of figures"/>
    <w:basedOn w:val="1"/>
    <w:next w:val="1"/>
    <w:qFormat/>
    <w:uiPriority w:val="0"/>
    <w:pPr>
      <w:ind w:left="200" w:leftChars="200" w:hanging="200" w:hangingChars="200"/>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6"/>
    <w:qFormat/>
    <w:uiPriority w:val="99"/>
    <w:rPr>
      <w:rFonts w:ascii="Times New Roman" w:hAnsi="Times New Roman" w:eastAsia="宋体" w:cs="Times New Roman"/>
      <w:sz w:val="18"/>
      <w:szCs w:val="18"/>
    </w:rPr>
  </w:style>
  <w:style w:type="character" w:customStyle="1" w:styleId="12">
    <w:name w:val="页脚 字符"/>
    <w:basedOn w:val="10"/>
    <w:link w:val="5"/>
    <w:qFormat/>
    <w:uiPriority w:val="99"/>
    <w:rPr>
      <w:rFonts w:ascii="Times New Roman" w:hAnsi="Times New Roman" w:eastAsia="宋体" w:cs="Times New Roman"/>
      <w:sz w:val="18"/>
      <w:szCs w:val="18"/>
    </w:rPr>
  </w:style>
  <w:style w:type="character" w:customStyle="1" w:styleId="13">
    <w:name w:val="批注框文本 字符"/>
    <w:basedOn w:val="10"/>
    <w:link w:val="4"/>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character" w:customStyle="1" w:styleId="15">
    <w:name w:val="font51"/>
    <w:basedOn w:val="10"/>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3722</Words>
  <Characters>4011</Characters>
  <Lines>1</Lines>
  <Paragraphs>1</Paragraphs>
  <TotalTime>1</TotalTime>
  <ScaleCrop>false</ScaleCrop>
  <LinksUpToDate>false</LinksUpToDate>
  <CharactersWithSpaces>4088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丽英</cp:lastModifiedBy>
  <dcterms:modified xsi:type="dcterms:W3CDTF">2022-09-30T07:26:58Z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867DD168B2C647D9ABE6A7074A7968CC</vt:lpwstr>
  </property>
</Properties>
</file>