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86"/>
        <w:gridCol w:w="948"/>
        <w:gridCol w:w="1416"/>
        <w:gridCol w:w="86"/>
        <w:gridCol w:w="1004"/>
        <w:gridCol w:w="760"/>
        <w:gridCol w:w="640"/>
        <w:gridCol w:w="552"/>
        <w:gridCol w:w="158"/>
        <w:gridCol w:w="20"/>
        <w:gridCol w:w="796"/>
        <w:gridCol w:w="69"/>
        <w:gridCol w:w="29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15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嘉兴市南湖区保安服务有限公司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15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浙江省嘉兴市南湖区解放街道城东路711号（原嘉兴市农业机械化技术培训学校内及沿街4间店铺）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0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15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浙江省嘉兴市南湖区解放街道城东路711号（原嘉兴市农业机械化技术培训学校内及沿街4间店铺）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文庆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15068393762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15068393762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0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50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0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0631-2022-EnMS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06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15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06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15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6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15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06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15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0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15" w:type="dxa"/>
            <w:gridSpan w:val="14"/>
            <w:vAlign w:val="top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0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70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位于浙江省嘉兴市南湖区景宜路185号紫竹名苑住宅小区物业管理服务（保洁、绿化、保安、设备维护与修缮管理、客户服务）所涉及的能源管理活动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2.10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50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15" w:type="dxa"/>
            <w:gridSpan w:val="1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T 107-2013 能源管理体系 公共建筑管理组织认证要求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1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审核于2022年09月</w:t>
            </w:r>
            <w:r>
              <w:rPr>
                <w:rFonts w:hint="eastAsia"/>
                <w:b/>
                <w:sz w:val="20"/>
                <w:lang w:val="en-US" w:eastAsia="zh-CN"/>
              </w:rPr>
              <w:t>27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午至2022年09月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午(共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15" w:type="dxa"/>
            <w:gridSpan w:val="14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06070"/>
                  <wp:effectExtent l="0" t="0" r="0" b="11430"/>
                  <wp:docPr id="23" name="图片 2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审核派遣人"/>
            <w:r>
              <w:rPr>
                <w:sz w:val="21"/>
                <w:szCs w:val="21"/>
              </w:rPr>
              <w:t>李永忠</w:t>
            </w:r>
            <w:bookmarkEnd w:id="16"/>
          </w:p>
        </w:tc>
        <w:tc>
          <w:tcPr>
            <w:tcW w:w="135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65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2022.9.26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2022.9.27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00"/>
        <w:gridCol w:w="1095"/>
        <w:gridCol w:w="3940"/>
        <w:gridCol w:w="163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9-27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1095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3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AB（腾讯会议）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695909211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9-27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94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</w:t>
            </w:r>
            <w:r>
              <w:rPr>
                <w:rFonts w:hint="eastAsia"/>
                <w:sz w:val="21"/>
                <w:szCs w:val="21"/>
              </w:rPr>
              <w:t>资源提供、内外部沟通、管理评审过程、监视和测量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638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9-2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13:30-15:30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远程巡视现场</w:t>
            </w:r>
          </w:p>
        </w:tc>
        <w:tc>
          <w:tcPr>
            <w:tcW w:w="394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主要用能设备、变配电站（室）等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9-2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eastAsia="楷体_GB2312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（关不同班次生产）</w:t>
            </w:r>
          </w:p>
        </w:tc>
        <w:tc>
          <w:tcPr>
            <w:tcW w:w="394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</w:t>
            </w:r>
            <w:r>
              <w:rPr>
                <w:rFonts w:hint="eastAsia"/>
                <w:sz w:val="21"/>
                <w:szCs w:val="21"/>
              </w:rPr>
              <w:t>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运行控制、能源采购、用能设备的采购、能源绩效监视测量、法律法规及其它要求的收集及合规性评价、内部审核实施、不符合纠正及纠正措施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/6.3/6.4/6.5/6.6/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1/8.2/8.3/9.1.1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9.2/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9-2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8:00-17:00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安全部</w:t>
            </w:r>
          </w:p>
        </w:tc>
        <w:tc>
          <w:tcPr>
            <w:tcW w:w="3940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EnMS:5.3/6.2/8.1/10.1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9-2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  <w:t>继续审核办公室</w:t>
            </w:r>
          </w:p>
        </w:tc>
        <w:tc>
          <w:tcPr>
            <w:tcW w:w="394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9-2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3940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9-2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940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运行控制、资金支持、不符合纠正及纠正措施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EnMS:5.3/6.2/7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/8.1/10.1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第四天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9-30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00-11:00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3940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运行控制、绩效测量、不符合纠正及纠正措施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EnMS:5.3/6.2/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6.6/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8.1/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9.1.1/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10.1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9-30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00-11:00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394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部门职责权限、目标指标、运行控制、不符合纠正及纠正措施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/8.1/10.1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9-30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00-11:30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4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审核组沟通，与管代沟通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9-30</w:t>
            </w: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30-12:00</w:t>
            </w:r>
          </w:p>
        </w:tc>
        <w:tc>
          <w:tcPr>
            <w:tcW w:w="109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6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</w:t>
            </w:r>
          </w:p>
        </w:tc>
        <w:tc>
          <w:tcPr>
            <w:tcW w:w="1568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AB（腾讯会议）</w:t>
            </w:r>
            <w:r>
              <w:rPr>
                <w:rFonts w:hint="eastAsia" w:ascii="宋体" w:hAnsi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420377695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09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4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64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539349028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04536"/>
    <w:rsid w:val="119B1820"/>
    <w:rsid w:val="1C5F249E"/>
    <w:rsid w:val="2BD1322E"/>
    <w:rsid w:val="58A15113"/>
    <w:rsid w:val="6264568E"/>
    <w:rsid w:val="62CE1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13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2022-09-30T01:02:02Z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