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嘉兴市南湖区保安服务有限公司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服务过程策划→投标洽谈→签到合同→人员配置→准备工具上岗→分管区域循环保安→处理投诉、业主回访→评价、改进服务质量；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主要能源参数等；公司办公区域综合能耗tce；紫竹名苑小区综合能耗tce；紫竹名苑小区单位面积综合能耗kgce/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.a；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pStyle w:val="2"/>
              <w:ind w:left="0" w:leftChars="0" w:firstLine="0" w:firstLineChars="0"/>
              <w:rPr>
                <w:rFonts w:hint="eastAsia" w:cs="Times New Roman"/>
                <w:b/>
                <w:i w:val="0"/>
                <w:i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i w:val="0"/>
                <w:iCs w:val="0"/>
                <w:kern w:val="2"/>
                <w:sz w:val="20"/>
                <w:szCs w:val="22"/>
                <w:lang w:val="en-US" w:eastAsia="zh-CN" w:bidi="ar-SA"/>
              </w:rPr>
              <w:t>《物业管理条例》</w:t>
            </w:r>
          </w:p>
          <w:p>
            <w:pPr>
              <w:rPr>
                <w:rFonts w:hint="eastAsia" w:ascii="Calibri" w:hAnsi="Calibri" w:eastAsia="宋体" w:cs="Times New Roman"/>
                <w:b/>
                <w:i w:val="0"/>
                <w:i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i w:val="0"/>
                <w:iCs w:val="0"/>
                <w:kern w:val="2"/>
                <w:sz w:val="20"/>
                <w:szCs w:val="22"/>
                <w:lang w:val="en-US" w:eastAsia="zh-CN" w:bidi="ar-SA"/>
              </w:rPr>
              <w:t>《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b/>
                <w:i w:val="0"/>
                <w:iCs w:val="0"/>
                <w:kern w:val="2"/>
                <w:sz w:val="20"/>
                <w:szCs w:val="22"/>
                <w:lang w:val="en-US" w:eastAsia="zh-CN" w:bidi="ar-SA"/>
              </w:rPr>
              <w:t>保安服务管理条例》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《中华人民共和国可再生能源法》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148590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7" name="图片 7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sz w:val="30"/>
          <w:szCs w:val="3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A2"/>
    <w:multiLevelType w:val="singleLevel"/>
    <w:tmpl w:val="026A39A2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D071586"/>
    <w:rsid w:val="4CC5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2022-09-30T01:25:11Z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