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271"/>
        <w:gridCol w:w="106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7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0" w:type="dxa"/>
            <w:vAlign w:val="center"/>
          </w:tcPr>
          <w:p>
            <w:pPr>
              <w:rPr>
                <w:sz w:val="24"/>
                <w:szCs w:val="24"/>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w:t>
            </w:r>
            <w:r>
              <w:rPr>
                <w:rFonts w:hint="eastAsia"/>
                <w:sz w:val="24"/>
                <w:szCs w:val="24"/>
              </w:rPr>
              <w:t>主管领导：聂志芬</w:t>
            </w:r>
            <w:r>
              <w:rPr>
                <w:rFonts w:hint="eastAsia"/>
                <w:sz w:val="24"/>
                <w:szCs w:val="24"/>
                <w:lang w:val="en-US" w:eastAsia="zh-CN"/>
              </w:rPr>
              <w:t xml:space="preserve">    </w:t>
            </w:r>
            <w:r>
              <w:rPr>
                <w:rFonts w:hint="eastAsia"/>
                <w:sz w:val="24"/>
                <w:szCs w:val="24"/>
              </w:rPr>
              <w:t>陪同人员：</w:t>
            </w:r>
            <w:bookmarkStart w:id="0" w:name="管理者代表"/>
            <w:r>
              <w:rPr>
                <w:rFonts w:hint="eastAsia"/>
                <w:sz w:val="24"/>
                <w:szCs w:val="24"/>
              </w:rPr>
              <w:t>黄海红</w:t>
            </w:r>
            <w:bookmarkEnd w:id="0"/>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Merge w:val="continue"/>
            <w:vAlign w:val="center"/>
          </w:tcPr>
          <w:p/>
        </w:tc>
        <w:tc>
          <w:tcPr>
            <w:tcW w:w="1271" w:type="dxa"/>
            <w:vMerge w:val="continue"/>
            <w:vAlign w:val="center"/>
          </w:tcPr>
          <w:p/>
        </w:tc>
        <w:tc>
          <w:tcPr>
            <w:tcW w:w="10620"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2022年09月24日</w:t>
            </w:r>
            <w:bookmarkEnd w:id="2"/>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Merge w:val="continue"/>
            <w:vAlign w:val="center"/>
          </w:tcPr>
          <w:p/>
        </w:tc>
        <w:tc>
          <w:tcPr>
            <w:tcW w:w="1271" w:type="dxa"/>
            <w:vMerge w:val="continue"/>
            <w:vAlign w:val="center"/>
          </w:tcPr>
          <w:p/>
        </w:tc>
        <w:tc>
          <w:tcPr>
            <w:tcW w:w="10620" w:type="dxa"/>
            <w:vAlign w:val="center"/>
          </w:tcPr>
          <w:p>
            <w:pPr>
              <w:rPr>
                <w:rFonts w:hint="eastAsia"/>
                <w:sz w:val="24"/>
                <w:szCs w:val="24"/>
              </w:rPr>
            </w:pPr>
            <w:r>
              <w:rPr>
                <w:rFonts w:hint="eastAsia"/>
                <w:sz w:val="24"/>
                <w:szCs w:val="24"/>
              </w:rPr>
              <w:t>审核条款：</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jc w:val="both"/>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Q:</w:t>
            </w:r>
            <w:r>
              <w:rPr>
                <w:rFonts w:hint="eastAsia" w:ascii="宋体" w:hAnsi="宋体" w:eastAsia="宋体" w:cs="Arial"/>
                <w:color w:val="auto"/>
                <w:spacing w:val="-6"/>
                <w:sz w:val="21"/>
                <w:szCs w:val="21"/>
              </w:rPr>
              <w:t>5.3组织的岗位、职责和权限、</w:t>
            </w:r>
            <w:r>
              <w:rPr>
                <w:rFonts w:hint="eastAsia" w:ascii="宋体" w:hAnsi="宋体" w:cs="Arial"/>
                <w:color w:val="auto"/>
                <w:spacing w:val="-6"/>
                <w:sz w:val="21"/>
                <w:szCs w:val="21"/>
                <w:lang w:val="en-US" w:eastAsia="zh-CN"/>
              </w:rPr>
              <w:t>6.2</w:t>
            </w:r>
            <w:r>
              <w:rPr>
                <w:rFonts w:hint="eastAsia" w:ascii="宋体" w:hAnsi="宋体" w:eastAsia="宋体" w:cs="Arial"/>
                <w:color w:val="auto"/>
                <w:spacing w:val="-6"/>
                <w:sz w:val="21"/>
                <w:szCs w:val="21"/>
              </w:rPr>
              <w:t>目标</w:t>
            </w:r>
            <w:r>
              <w:rPr>
                <w:rFonts w:hint="eastAsia" w:ascii="宋体" w:hAnsi="宋体" w:eastAsia="宋体" w:cs="Arial"/>
                <w:color w:val="auto"/>
                <w:spacing w:val="-6"/>
                <w:sz w:val="21"/>
                <w:szCs w:val="21"/>
                <w:lang w:val="en-US" w:eastAsia="zh-CN"/>
              </w:rPr>
              <w:t>及控制的策划</w:t>
            </w:r>
            <w:r>
              <w:rPr>
                <w:rFonts w:hint="eastAsia" w:ascii="宋体" w:hAnsi="宋体" w:eastAsia="宋体" w:cs="Arial"/>
                <w:color w:val="auto"/>
                <w:spacing w:val="-6"/>
                <w:sz w:val="21"/>
                <w:szCs w:val="21"/>
              </w:rPr>
              <w:t>、</w:t>
            </w:r>
            <w:r>
              <w:rPr>
                <w:rFonts w:hint="eastAsia" w:ascii="宋体" w:hAnsi="宋体" w:cs="Arial"/>
                <w:color w:val="auto"/>
                <w:spacing w:val="-6"/>
                <w:sz w:val="21"/>
                <w:szCs w:val="21"/>
                <w:lang w:val="en-US" w:eastAsia="zh-CN"/>
              </w:rPr>
              <w:t>7.1资源、7.1.2</w:t>
            </w:r>
            <w:r>
              <w:rPr>
                <w:rFonts w:hint="eastAsia" w:ascii="宋体" w:hAnsi="宋体" w:eastAsia="宋体" w:cs="Arial"/>
                <w:color w:val="auto"/>
                <w:spacing w:val="-6"/>
                <w:sz w:val="21"/>
                <w:szCs w:val="21"/>
                <w:lang w:val="en-US" w:eastAsia="zh-CN"/>
              </w:rPr>
              <w:t>人员、</w:t>
            </w:r>
            <w:r>
              <w:rPr>
                <w:rFonts w:hint="eastAsia" w:ascii="宋体" w:hAnsi="宋体" w:eastAsia="宋体" w:cs="Arial"/>
                <w:color w:val="auto"/>
                <w:spacing w:val="-6"/>
                <w:sz w:val="21"/>
                <w:szCs w:val="21"/>
              </w:rPr>
              <w:t>7.2能力、</w:t>
            </w:r>
            <w:r>
              <w:rPr>
                <w:rFonts w:hint="eastAsia" w:ascii="宋体" w:hAnsi="宋体" w:eastAsia="宋体" w:cs="Arial"/>
                <w:color w:val="auto"/>
                <w:spacing w:val="-6"/>
                <w:sz w:val="21"/>
                <w:szCs w:val="21"/>
                <w:lang w:val="en-US" w:eastAsia="zh-CN"/>
              </w:rPr>
              <w:t>7.3意识、7.5成文信息、</w:t>
            </w:r>
            <w:r>
              <w:rPr>
                <w:rFonts w:hint="eastAsia" w:ascii="宋体" w:hAnsi="宋体" w:cs="Arial"/>
                <w:color w:val="auto"/>
                <w:spacing w:val="-6"/>
                <w:sz w:val="21"/>
                <w:szCs w:val="21"/>
                <w:lang w:val="en-US" w:eastAsia="zh-CN"/>
              </w:rPr>
              <w:t>7.1.6</w:t>
            </w:r>
            <w:r>
              <w:rPr>
                <w:rFonts w:hint="eastAsia" w:ascii="宋体" w:hAnsi="宋体" w:eastAsia="宋体" w:cs="Arial"/>
                <w:color w:val="auto"/>
                <w:spacing w:val="-6"/>
                <w:sz w:val="21"/>
                <w:szCs w:val="21"/>
                <w:lang w:val="en-US" w:eastAsia="zh-CN"/>
              </w:rPr>
              <w:t>组织的知识、9.1.1</w:t>
            </w:r>
            <w:r>
              <w:rPr>
                <w:rFonts w:hint="eastAsia" w:ascii="宋体" w:hAnsi="宋体" w:eastAsia="宋体" w:cs="Arial"/>
                <w:color w:val="auto"/>
                <w:spacing w:val="-6"/>
                <w:sz w:val="21"/>
                <w:szCs w:val="21"/>
              </w:rPr>
              <w:t>监视、测量、分析和评价</w:t>
            </w:r>
            <w:r>
              <w:rPr>
                <w:rFonts w:hint="eastAsia" w:ascii="宋体" w:hAnsi="宋体" w:eastAsia="宋体" w:cs="Arial"/>
                <w:color w:val="auto"/>
                <w:spacing w:val="-6"/>
                <w:sz w:val="21"/>
                <w:szCs w:val="21"/>
                <w:lang w:eastAsia="zh-CN"/>
              </w:rPr>
              <w:t>、</w:t>
            </w:r>
            <w:r>
              <w:rPr>
                <w:rFonts w:hint="eastAsia" w:ascii="宋体" w:hAnsi="宋体" w:cs="Arial"/>
                <w:color w:val="auto"/>
                <w:spacing w:val="-6"/>
                <w:sz w:val="21"/>
                <w:szCs w:val="21"/>
                <w:lang w:val="en-US" w:eastAsia="zh-CN"/>
              </w:rPr>
              <w:t>9.1.3分析与评价、</w:t>
            </w:r>
            <w:r>
              <w:rPr>
                <w:rFonts w:hint="eastAsia" w:ascii="宋体" w:hAnsi="宋体" w:eastAsia="宋体" w:cs="Arial"/>
                <w:color w:val="auto"/>
                <w:spacing w:val="-6"/>
                <w:sz w:val="21"/>
                <w:szCs w:val="21"/>
                <w:lang w:val="en-US" w:eastAsia="zh-CN"/>
              </w:rPr>
              <w:t>10.2改进</w:t>
            </w:r>
          </w:p>
          <w:p>
            <w:pPr>
              <w:rPr>
                <w:rFonts w:hint="eastAsia"/>
                <w:sz w:val="24"/>
                <w:szCs w:val="24"/>
              </w:rPr>
            </w:pPr>
            <w:r>
              <w:rPr>
                <w:rFonts w:hint="eastAsia" w:ascii="宋体" w:hAnsi="宋体" w:cs="Arial"/>
                <w:color w:val="auto"/>
                <w:spacing w:val="-6"/>
                <w:sz w:val="21"/>
                <w:szCs w:val="21"/>
                <w:lang w:val="en-US" w:eastAsia="zh-CN"/>
              </w:rPr>
              <w:t>E/O:5.3</w:t>
            </w:r>
            <w:r>
              <w:rPr>
                <w:rFonts w:hint="eastAsia" w:ascii="宋体" w:hAnsi="宋体" w:eastAsia="宋体" w:cs="Arial"/>
                <w:color w:val="auto"/>
                <w:spacing w:val="-6"/>
                <w:sz w:val="21"/>
                <w:szCs w:val="21"/>
              </w:rPr>
              <w:t>组织的岗位、职责和权限、</w:t>
            </w:r>
            <w:r>
              <w:rPr>
                <w:rFonts w:hint="eastAsia" w:ascii="宋体" w:hAnsi="宋体" w:cs="Arial"/>
                <w:color w:val="auto"/>
                <w:spacing w:val="-6"/>
                <w:sz w:val="21"/>
                <w:szCs w:val="21"/>
                <w:lang w:val="en-US" w:eastAsia="zh-CN"/>
              </w:rPr>
              <w:t>6.2</w:t>
            </w:r>
            <w:r>
              <w:rPr>
                <w:rFonts w:hint="eastAsia" w:ascii="宋体" w:hAnsi="宋体" w:eastAsia="宋体" w:cs="Arial"/>
                <w:color w:val="auto"/>
                <w:spacing w:val="-6"/>
                <w:sz w:val="21"/>
                <w:szCs w:val="21"/>
              </w:rPr>
              <w:t>目标</w:t>
            </w:r>
            <w:r>
              <w:rPr>
                <w:rFonts w:hint="eastAsia" w:ascii="宋体" w:hAnsi="宋体" w:eastAsia="宋体" w:cs="Arial"/>
                <w:color w:val="auto"/>
                <w:spacing w:val="-6"/>
                <w:sz w:val="21"/>
                <w:szCs w:val="21"/>
                <w:lang w:val="en-US" w:eastAsia="zh-CN"/>
              </w:rPr>
              <w:t>及控制的策划</w:t>
            </w:r>
            <w:r>
              <w:rPr>
                <w:rFonts w:hint="eastAsia" w:ascii="宋体" w:hAnsi="宋体" w:eastAsia="宋体" w:cs="Arial"/>
                <w:color w:val="auto"/>
                <w:spacing w:val="-6"/>
                <w:sz w:val="21"/>
                <w:szCs w:val="21"/>
              </w:rPr>
              <w:t>、</w:t>
            </w:r>
            <w:r>
              <w:rPr>
                <w:rFonts w:hint="eastAsia" w:ascii="宋体" w:hAnsi="宋体" w:eastAsia="宋体" w:cs="Arial"/>
                <w:color w:val="auto"/>
                <w:spacing w:val="-6"/>
                <w:sz w:val="21"/>
                <w:szCs w:val="21"/>
                <w:lang w:val="en-US" w:eastAsia="zh-CN"/>
              </w:rPr>
              <w:t>6.1.2</w:t>
            </w:r>
            <w:r>
              <w:rPr>
                <w:rFonts w:hint="eastAsia" w:ascii="宋体" w:hAnsi="宋体" w:eastAsia="宋体" w:cs="Arial"/>
                <w:color w:val="auto"/>
                <w:spacing w:val="-6"/>
                <w:sz w:val="21"/>
                <w:szCs w:val="21"/>
              </w:rPr>
              <w:t>环境因素/危险源的识别与评价、</w:t>
            </w:r>
            <w:r>
              <w:rPr>
                <w:rFonts w:hint="eastAsia" w:ascii="宋体" w:hAnsi="宋体" w:eastAsia="宋体" w:cs="Arial"/>
                <w:color w:val="auto"/>
                <w:spacing w:val="-6"/>
                <w:sz w:val="21"/>
                <w:szCs w:val="21"/>
                <w:lang w:val="en-US" w:eastAsia="zh-CN"/>
              </w:rPr>
              <w:t>6.1.4</w:t>
            </w:r>
            <w:r>
              <w:rPr>
                <w:rFonts w:hint="eastAsia" w:ascii="宋体" w:hAnsi="宋体" w:eastAsia="宋体" w:cs="Arial"/>
                <w:color w:val="auto"/>
                <w:spacing w:val="-6"/>
                <w:sz w:val="21"/>
                <w:szCs w:val="21"/>
              </w:rPr>
              <w:t>措施的策划、</w:t>
            </w:r>
            <w:r>
              <w:rPr>
                <w:rFonts w:hint="eastAsia" w:ascii="宋体" w:hAnsi="宋体" w:cs="Arial"/>
                <w:color w:val="auto"/>
                <w:spacing w:val="-6"/>
                <w:sz w:val="21"/>
                <w:szCs w:val="21"/>
                <w:lang w:val="en-US" w:eastAsia="zh-CN"/>
              </w:rPr>
              <w:t>7.1资源、</w:t>
            </w:r>
            <w:r>
              <w:rPr>
                <w:rFonts w:hint="eastAsia" w:ascii="宋体" w:hAnsi="宋体" w:eastAsia="宋体" w:cs="Arial"/>
                <w:color w:val="auto"/>
                <w:spacing w:val="-6"/>
                <w:sz w:val="21"/>
                <w:szCs w:val="21"/>
              </w:rPr>
              <w:t>7.2能力、</w:t>
            </w:r>
            <w:r>
              <w:rPr>
                <w:rFonts w:hint="eastAsia" w:ascii="宋体" w:hAnsi="宋体" w:eastAsia="宋体" w:cs="Arial"/>
                <w:color w:val="auto"/>
                <w:spacing w:val="-6"/>
                <w:sz w:val="21"/>
                <w:szCs w:val="21"/>
                <w:lang w:val="en-US" w:eastAsia="zh-CN"/>
              </w:rPr>
              <w:t>7.3意识、7.5成文信息、8.1</w:t>
            </w:r>
            <w:r>
              <w:rPr>
                <w:rFonts w:hint="eastAsia" w:ascii="宋体" w:hAnsi="宋体" w:eastAsia="宋体" w:cs="Arial"/>
                <w:color w:val="auto"/>
                <w:spacing w:val="-6"/>
                <w:sz w:val="21"/>
                <w:szCs w:val="21"/>
              </w:rPr>
              <w:t>运行策划和控制</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8.2</w:t>
            </w:r>
            <w:r>
              <w:rPr>
                <w:rFonts w:hint="eastAsia" w:ascii="宋体" w:hAnsi="宋体" w:eastAsia="宋体" w:cs="Arial"/>
                <w:color w:val="auto"/>
                <w:spacing w:val="-6"/>
                <w:sz w:val="21"/>
                <w:szCs w:val="21"/>
              </w:rPr>
              <w:t>应急准备和响应、</w:t>
            </w:r>
            <w:r>
              <w:rPr>
                <w:rFonts w:hint="eastAsia" w:ascii="宋体" w:hAnsi="宋体" w:eastAsia="宋体" w:cs="Arial"/>
                <w:color w:val="auto"/>
                <w:spacing w:val="-6"/>
                <w:sz w:val="21"/>
                <w:szCs w:val="21"/>
                <w:lang w:val="en-US" w:eastAsia="zh-CN"/>
              </w:rPr>
              <w:t>9.1.1</w:t>
            </w:r>
            <w:r>
              <w:rPr>
                <w:rFonts w:hint="eastAsia" w:ascii="宋体" w:hAnsi="宋体" w:eastAsia="宋体" w:cs="Arial"/>
                <w:color w:val="auto"/>
                <w:spacing w:val="-6"/>
                <w:sz w:val="21"/>
                <w:szCs w:val="21"/>
              </w:rPr>
              <w:t>监视、测量、分析和评价、</w:t>
            </w:r>
            <w:r>
              <w:rPr>
                <w:rFonts w:hint="eastAsia" w:ascii="宋体" w:hAnsi="宋体" w:eastAsia="宋体" w:cs="Arial"/>
                <w:color w:val="auto"/>
                <w:spacing w:val="-6"/>
                <w:sz w:val="21"/>
                <w:szCs w:val="21"/>
                <w:lang w:val="en-US" w:eastAsia="zh-CN"/>
              </w:rPr>
              <w:t>9.2</w:t>
            </w:r>
            <w:r>
              <w:rPr>
                <w:rFonts w:hint="eastAsia" w:ascii="宋体" w:hAnsi="宋体" w:eastAsia="宋体" w:cs="Arial"/>
                <w:color w:val="auto"/>
                <w:spacing w:val="-6"/>
                <w:sz w:val="21"/>
                <w:szCs w:val="21"/>
              </w:rPr>
              <w:t>内部审核</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10.2改进</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行政部</w:t>
            </w:r>
            <w:r>
              <w:rPr>
                <w:rFonts w:hint="default" w:ascii="Times New Roman" w:hAnsi="Times New Roman" w:cs="Times New Roman"/>
                <w:i w:val="0"/>
                <w:iCs w:val="0"/>
                <w:color w:val="auto"/>
                <w:highlight w:val="none"/>
                <w:lang w:val="en-US" w:eastAsia="zh-CN"/>
              </w:rPr>
              <w:t>现有</w:t>
            </w:r>
            <w:r>
              <w:rPr>
                <w:rFonts w:hint="eastAsia" w:cs="Times New Roman"/>
                <w:i w:val="0"/>
                <w:iCs w:val="0"/>
                <w:color w:val="auto"/>
                <w:highlight w:val="none"/>
                <w:lang w:val="en-US" w:eastAsia="zh-CN"/>
              </w:rPr>
              <w:t>3</w:t>
            </w:r>
            <w:r>
              <w:rPr>
                <w:rFonts w:hint="default" w:ascii="Times New Roman" w:hAnsi="Times New Roman" w:cs="Times New Roman"/>
                <w:i w:val="0"/>
                <w:iCs w:val="0"/>
                <w:color w:val="auto"/>
                <w:highlight w:val="none"/>
                <w:lang w:val="en-US" w:eastAsia="zh-CN"/>
              </w:rPr>
              <w:t>人</w:t>
            </w:r>
            <w:r>
              <w:rPr>
                <w:rFonts w:hint="eastAsia" w:cs="Times New Roman"/>
                <w:i w:val="0"/>
                <w:iCs w:val="0"/>
                <w:color w:val="auto"/>
                <w:highlight w:val="none"/>
                <w:lang w:val="en-US" w:eastAsia="zh-CN"/>
              </w:rPr>
              <w:t>，部长1人、文员1人、财务1人；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主要负责行政管理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人力资源管理</w:t>
            </w:r>
            <w:r>
              <w:rPr>
                <w:rFonts w:hint="eastAsia" w:ascii="Times New Roman" w:hAnsi="Times New Roman" w:cs="Times New Roman"/>
                <w:color w:val="auto"/>
                <w:lang w:val="en-US" w:eastAsia="zh-CN"/>
              </w:rPr>
              <w:t>和资金管理</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环境因素、危险源的识别、评价及控制以及应急管理；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default" w:ascii="Times New Roman" w:hAnsi="Times New Roman" w:cs="Times New Roman"/>
                <w:color w:val="auto"/>
                <w:lang w:val="en-US" w:eastAsia="zh-CN"/>
              </w:rPr>
              <w:t>协助做好管理评审工作、组织开展内部审核。</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cs="Times New Roman"/>
                <w:color w:val="auto"/>
                <w:highlight w:val="none"/>
                <w:lang w:val="en-US" w:eastAsia="zh-CN"/>
              </w:rPr>
              <w:t>行政部</w:t>
            </w:r>
            <w:r>
              <w:rPr>
                <w:rFonts w:hint="default" w:ascii="Times New Roman" w:hAnsi="Times New Roman" w:cs="Times New Roman"/>
                <w:color w:val="auto"/>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文件使用有效率100%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培训合格率100%以上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重大交通事故为零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 w:val="21"/>
                <w:szCs w:val="21"/>
              </w:rPr>
            </w:pPr>
            <w:r>
              <w:rPr>
                <w:rFonts w:hint="eastAsia"/>
                <w:sz w:val="21"/>
                <w:szCs w:val="21"/>
              </w:rPr>
              <w:t>火灾事故为0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sz w:val="21"/>
                <w:szCs w:val="21"/>
              </w:rPr>
              <w:t>固体废弃物分类处置率100%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制定“环境安全管理方案”，对重要环境因素和不可接受风险的控制措施进行了策划；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保留“目标分解考核表”，</w:t>
            </w:r>
            <w:r>
              <w:rPr>
                <w:rFonts w:hint="eastAsia" w:ascii="宋体" w:hAnsi="宋体" w:cs="Arial"/>
                <w:color w:val="auto"/>
                <w:spacing w:val="-6"/>
                <w:sz w:val="21"/>
                <w:szCs w:val="21"/>
                <w:lang w:val="en-US" w:eastAsia="zh-CN"/>
              </w:rPr>
              <w:t>2022.9.10进行了考核，显示所有目标均已完成。</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提供了环境因素和危险源识别评价与控制程序。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查“环境因素识别和评价表”，涉及行政部的环境因素有纸张使用能源消耗、办公场所吸烟污染环境、复印机打印机废墨盒处置污染环境、火灾发生后废弃物污染大气、水土等。考虑了生命周期观点。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查“重要环境因素清单”，列有办公活动的潜在火灾、爆炸、固废、废硒鼓为重要环境因素。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查“危险源辨识、风险评价和控制措施的确定表”，识别了办公活动过程及相关方活动中的危险源，主要包括车辆伤害、火灾、中暑、其他伤害、机械伤害、其他伤害、起重伤害、物体打击等。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查“不可接受风险清单”，评价出重大危险源包括：触电伤害、潜在火灾。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s="Times New Roman" w:eastAsiaTheme="minorEastAsia"/>
                <w:color w:val="auto"/>
                <w:sz w:val="21"/>
                <w:szCs w:val="21"/>
                <w:lang w:val="en-US" w:eastAsia="zh-CN"/>
              </w:rPr>
              <w:t>经组织评价，组织策划的措施基本能够满足风险和机遇应对需要，能够与识别的风险和机遇对产品符合性的潜在影响相适应，基本满足标准要求。</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资源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w:t>
            </w:r>
            <w:r>
              <w:rPr>
                <w:rFonts w:hint="eastAsia" w:ascii="Times New Roman" w:hAnsi="Times New Roman" w:cs="Times New Roman"/>
                <w:color w:val="auto"/>
                <w:spacing w:val="-6"/>
                <w:sz w:val="21"/>
                <w:szCs w:val="21"/>
                <w:lang w:val="en-US" w:eastAsia="zh-CN"/>
              </w:rPr>
              <w:t>7.1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10620"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i w:val="0"/>
                <w:iCs w:val="0"/>
                <w:color w:val="auto"/>
                <w:highlight w:val="none"/>
                <w:lang w:val="en-US" w:eastAsia="zh-CN"/>
              </w:rPr>
              <w:t>公司财务能保障公司质量/环境/职业健康安全管理体系运行所需</w:t>
            </w:r>
            <w:r>
              <w:rPr>
                <w:rFonts w:hint="eastAsia" w:ascii="Times New Roman" w:hAnsi="Times New Roman" w:eastAsia="宋体" w:cs="Times New Roman"/>
                <w:i w:val="0"/>
                <w:iCs w:val="0"/>
                <w:color w:val="auto"/>
                <w:highlight w:val="none"/>
                <w:lang w:val="en-US" w:eastAsia="zh-CN"/>
              </w:rPr>
              <w:t>，2021.9-2022.8，安全环保费用计提15万元；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ascii="Times New Roman" w:hAnsi="Times New Roman" w:cs="Times New Roman"/>
                <w:color w:val="auto"/>
                <w:highlight w:val="none"/>
                <w:lang w:val="en-US" w:eastAsia="zh-CN"/>
              </w:rPr>
              <w:t>33</w:t>
            </w:r>
            <w:r>
              <w:rPr>
                <w:rFonts w:hint="default" w:ascii="Times New Roman" w:hAnsi="Times New Roman" w:cs="Times New Roman"/>
                <w:color w:val="auto"/>
                <w:highlight w:val="none"/>
                <w:lang w:val="en-US" w:eastAsia="zh-CN"/>
              </w:rPr>
              <w:t>人</w:t>
            </w:r>
            <w:r>
              <w:rPr>
                <w:rFonts w:hint="eastAsia" w:ascii="Times New Roman" w:hAnsi="Times New Roman" w:cs="Times New Roman"/>
                <w:color w:val="auto"/>
                <w:highlight w:val="none"/>
                <w:lang w:val="en-US" w:eastAsia="zh-CN"/>
              </w:rPr>
              <w:t>，减少9人</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pacing w:val="-6"/>
                <w:sz w:val="21"/>
                <w:szCs w:val="21"/>
                <w:highlight w:val="none"/>
                <w:lang w:val="en-US" w:eastAsia="zh-CN"/>
              </w:rPr>
              <w:t>管理人员</w:t>
            </w:r>
            <w:r>
              <w:rPr>
                <w:rFonts w:hint="eastAsia" w:ascii="Times New Roman" w:hAnsi="Times New Roman" w:cs="Times New Roman"/>
                <w:color w:val="auto"/>
                <w:spacing w:val="-6"/>
                <w:sz w:val="21"/>
                <w:szCs w:val="21"/>
                <w:highlight w:val="none"/>
                <w:lang w:val="en-US" w:eastAsia="zh-CN"/>
              </w:rPr>
              <w:t>10人</w:t>
            </w:r>
            <w:r>
              <w:rPr>
                <w:rFonts w:hint="default" w:ascii="Times New Roman" w:hAnsi="Times New Roman" w:cs="Times New Roman"/>
                <w:color w:val="auto"/>
                <w:spacing w:val="-6"/>
                <w:sz w:val="21"/>
                <w:szCs w:val="21"/>
                <w:highlight w:val="none"/>
                <w:lang w:val="en-US" w:eastAsia="zh-CN"/>
              </w:rPr>
              <w:t>、</w:t>
            </w:r>
            <w:r>
              <w:rPr>
                <w:rFonts w:hint="eastAsia" w:ascii="Times New Roman" w:hAnsi="Times New Roman" w:cs="Times New Roman"/>
                <w:color w:val="auto"/>
                <w:spacing w:val="-6"/>
                <w:sz w:val="21"/>
                <w:szCs w:val="21"/>
                <w:highlight w:val="none"/>
                <w:lang w:val="en-US" w:eastAsia="zh-CN"/>
              </w:rPr>
              <w:t>作业人员23人；各类</w:t>
            </w:r>
            <w:r>
              <w:rPr>
                <w:rFonts w:hint="default" w:ascii="Times New Roman" w:hAnsi="Times New Roman" w:cs="Times New Roman"/>
                <w:color w:val="auto"/>
                <w:spacing w:val="-6"/>
                <w:sz w:val="21"/>
                <w:szCs w:val="21"/>
                <w:highlight w:val="none"/>
                <w:lang w:val="en-US" w:eastAsia="zh-CN"/>
              </w:rPr>
              <w:t>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年度员工培训计划”，计划开展管理体系内审员培训、环境、安全法律法规的培训、岗位技能培训、生产操作规程等</w:t>
            </w:r>
            <w:r>
              <w:rPr>
                <w:rFonts w:hint="eastAsia" w:cs="Times New Roman"/>
                <w:color w:val="auto"/>
                <w:highlight w:val="none"/>
                <w:lang w:val="en-US" w:eastAsia="zh-CN"/>
              </w:rPr>
              <w:t>14</w:t>
            </w:r>
            <w:r>
              <w:rPr>
                <w:rFonts w:hint="default" w:ascii="Times New Roman" w:hAnsi="Times New Roman" w:cs="Times New Roman"/>
                <w:color w:val="auto"/>
                <w:highlight w:val="none"/>
                <w:lang w:val="en-US" w:eastAsia="zh-CN"/>
              </w:rPr>
              <w:t>项次；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szCs w:val="21"/>
                <w:lang w:val="en-US" w:eastAsia="zh-CN"/>
              </w:rPr>
            </w:pPr>
            <w:r>
              <w:rPr>
                <w:rFonts w:hint="default" w:ascii="Times New Roman" w:hAnsi="Times New Roman" w:cs="Times New Roman"/>
                <w:color w:val="auto"/>
                <w:szCs w:val="22"/>
                <w:highlight w:val="none"/>
                <w:lang w:val="en-US" w:eastAsia="zh-CN"/>
              </w:rPr>
              <w:t>管理手册、程序文件</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2022.4.18</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管理体系内审员培训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2022.5.22</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cs="Times New Roman"/>
                <w:color w:val="auto"/>
                <w:szCs w:val="22"/>
                <w:highlight w:val="none"/>
                <w:lang w:val="en-US" w:eastAsia="zh-CN"/>
              </w:rPr>
              <w:t>安全生产知识培训</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2022.7.11</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黄xx——安全管理人员培训合格证，2023.9.10，宜春市应急管理局；</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蔡</w:t>
            </w:r>
            <w:r>
              <w:rPr>
                <w:rFonts w:hint="default" w:ascii="Times New Roman" w:hAnsi="Times New Roman" w:cs="Times New Roman"/>
                <w:color w:val="auto"/>
                <w:szCs w:val="22"/>
                <w:highlight w:val="none"/>
                <w:lang w:val="en-US" w:eastAsia="zh-CN"/>
              </w:rPr>
              <w:t>X——</w:t>
            </w:r>
            <w:r>
              <w:rPr>
                <w:rFonts w:hint="eastAsia" w:ascii="Times New Roman" w:hAnsi="Times New Roman" w:cs="Times New Roman"/>
                <w:color w:val="auto"/>
                <w:szCs w:val="22"/>
                <w:highlight w:val="none"/>
                <w:lang w:val="en-US" w:eastAsia="zh-CN"/>
              </w:rPr>
              <w:t>低压电工</w:t>
            </w:r>
            <w:r>
              <w:rPr>
                <w:rFonts w:hint="default" w:ascii="Times New Roman" w:hAnsi="Times New Roman" w:cs="Times New Roman"/>
                <w:color w:val="auto"/>
                <w:szCs w:val="22"/>
                <w:highlight w:val="none"/>
                <w:lang w:val="en-US" w:eastAsia="zh-CN"/>
              </w:rPr>
              <w:t>，20</w:t>
            </w:r>
            <w:r>
              <w:rPr>
                <w:rFonts w:hint="eastAsia" w:ascii="Times New Roman" w:hAnsi="Times New Roman" w:cs="Times New Roman"/>
                <w:color w:val="auto"/>
                <w:szCs w:val="22"/>
                <w:highlight w:val="none"/>
                <w:lang w:val="en-US" w:eastAsia="zh-CN"/>
              </w:rPr>
              <w:t>24.11.23</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江西省鄱阳县应急管理局</w:t>
            </w:r>
            <w:r>
              <w:rPr>
                <w:rFonts w:hint="default" w:ascii="Times New Roman" w:hAnsi="Times New Roman"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办公面积大约200平方米，工作场所布局合理，座椅和办公桌符合人体工程学要求，员工有自我防护意识，工间能适当走动、休息；各工作人员坐姿正确，避免过度疲劳；电脑显示器调整到保护视力的颜色；配置有适量的绿植，办公环境光照、温度适宜，通风良好，办公场所物品摆放整齐、有序，未见随意乱放私人物品的情况；满足办公需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电路、电源正常，电路布线合理、电气插座完整，未见破损，无乱拉乱接电线、使用超额电气等现象；未见用电不当等安全隐患及不良影响现象。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查见配置有灭火器，状态良好</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消防通道、应急指示良好，监控摄像头运行正常；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查见“劳保用品领用登记表”，见发放了工作服、手套、口罩等；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ascii="Times New Roman" w:hAnsi="Times New Roman"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见生产部审核记录。</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QEO:7.5</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编制《管理手册》B/0版，</w:t>
            </w:r>
            <w:r>
              <w:rPr>
                <w:rFonts w:hint="eastAsia" w:ascii="Times New Roman" w:hAnsi="Times New Roman" w:eastAsia="宋体" w:cs="Times New Roman"/>
                <w:i w:val="0"/>
                <w:iCs w:val="0"/>
                <w:color w:val="auto"/>
                <w:highlight w:val="none"/>
                <w:lang w:val="en-US" w:eastAsia="zh-CN"/>
              </w:rPr>
              <w:t>管理体系因组织机构变化，手册于2022.1.10修订后重新发布实施；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编制程序文件26个，版本号：B/0，2020年1月2日实施；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岗位任职资格、监视测量设备控制规定、化学品储存使用管理办法、生产车间噪声控制作业指导书、生产工序作业指导书、火灾应急预案、触电事故应急预案、员工职业健康及劳动保护管理规定、培训管理制度、能源使用管理规定、产品搬运、储存、防护操作规程、设备管理制度、安全防火规程、安全生产管理制度、质量管理制度、特殊过程能力评价准则、安全操作规程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i w:val="0"/>
                <w:iCs w:val="0"/>
                <w:color w:val="auto"/>
                <w:highlight w:val="none"/>
                <w:lang w:val="en-US" w:eastAsia="zh-CN"/>
              </w:rPr>
            </w:pPr>
            <w:r>
              <w:rPr>
                <w:rFonts w:hint="eastAsia" w:ascii="Times New Roman" w:hAnsi="Times New Roman" w:eastAsia="宋体" w:cs="Times New Roman"/>
                <w:i w:val="0"/>
                <w:iCs w:val="0"/>
                <w:color w:val="auto"/>
                <w:highlight w:val="none"/>
                <w:lang w:val="en-US" w:eastAsia="zh-CN"/>
              </w:rPr>
              <w:t>建立环境、职业健康安全法律法规和其他要求清单，收集法律法规和技术标准、规范等；中华人民共和国产品质量法、中华人民共和国安全生产法、中华人民共和国环境保护法、中华人民共和国消防法、金属家具通用技术条件GB/T3325-2017；共104个。</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经查，基本符合标准要求。</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保留顾客满意度调查记录，并对调查结果进行统计分析；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查见“环境安全运行检查记录”，202</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年1月</w:t>
            </w:r>
            <w:r>
              <w:rPr>
                <w:rFonts w:hint="eastAsia" w:cs="Times New Roman"/>
                <w:color w:val="auto"/>
                <w:szCs w:val="22"/>
                <w:highlight w:val="none"/>
                <w:lang w:val="en-US" w:eastAsia="zh-CN"/>
              </w:rPr>
              <w:t>-8月</w:t>
            </w:r>
            <w:r>
              <w:rPr>
                <w:rFonts w:hint="eastAsia" w:ascii="Times New Roman" w:hAnsi="Times New Roman" w:cs="Times New Roman"/>
                <w:color w:val="auto"/>
                <w:szCs w:val="22"/>
                <w:highlight w:val="none"/>
                <w:lang w:val="en-US" w:eastAsia="zh-CN"/>
              </w:rPr>
              <w:t>，每月对设备维护、固废、能源消耗等进行了检查，均正常；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查见“消防器材台账及检查记录”，</w:t>
            </w:r>
            <w:r>
              <w:rPr>
                <w:rFonts w:hint="eastAsia" w:cs="Times New Roman"/>
                <w:color w:val="auto"/>
                <w:szCs w:val="22"/>
                <w:highlight w:val="none"/>
                <w:lang w:val="en-US" w:eastAsia="zh-CN"/>
              </w:rPr>
              <w:t>每季度一次</w:t>
            </w:r>
            <w:r>
              <w:rPr>
                <w:rFonts w:hint="default" w:ascii="Times New Roman" w:hAnsi="Times New Roman" w:cs="Times New Roman"/>
                <w:color w:val="auto"/>
                <w:szCs w:val="22"/>
                <w:highlight w:val="none"/>
                <w:lang w:val="en-US" w:eastAsia="zh-CN"/>
              </w:rPr>
              <w:t>，对</w:t>
            </w:r>
            <w:r>
              <w:rPr>
                <w:rFonts w:hint="eastAsia" w:ascii="Times New Roman" w:hAnsi="Times New Roman" w:cs="Times New Roman"/>
                <w:color w:val="auto"/>
                <w:szCs w:val="22"/>
                <w:highlight w:val="none"/>
                <w:lang w:val="en-US" w:eastAsia="zh-CN"/>
              </w:rPr>
              <w:t>车间和办公区的灭火器和消防栓</w:t>
            </w:r>
            <w:r>
              <w:rPr>
                <w:rFonts w:hint="default" w:ascii="Times New Roman" w:hAnsi="Times New Roman" w:cs="Times New Roman"/>
                <w:color w:val="auto"/>
                <w:szCs w:val="22"/>
                <w:highlight w:val="none"/>
                <w:lang w:val="en-US" w:eastAsia="zh-CN"/>
              </w:rPr>
              <w:t>等进行了检查，结果均正常；检查人签字；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公司对员工进行了身体健康体检，抽见体检报告，</w:t>
            </w:r>
            <w:r>
              <w:rPr>
                <w:rFonts w:hint="eastAsia" w:cs="Times New Roman"/>
                <w:color w:val="auto"/>
                <w:szCs w:val="22"/>
                <w:highlight w:val="none"/>
                <w:lang w:val="en-US" w:eastAsia="zh-CN"/>
              </w:rPr>
              <w:t>樟树市中医院出具，</w:t>
            </w:r>
            <w:r>
              <w:rPr>
                <w:rFonts w:hint="eastAsia" w:ascii="Times New Roman" w:hAnsi="Times New Roman" w:cs="Times New Roman"/>
                <w:color w:val="auto"/>
                <w:szCs w:val="22"/>
                <w:highlight w:val="none"/>
                <w:lang w:val="en-US" w:eastAsia="zh-CN"/>
              </w:rPr>
              <w:t>黄</w:t>
            </w:r>
            <w:r>
              <w:rPr>
                <w:rFonts w:hint="default" w:ascii="Times New Roman" w:hAnsi="Times New Roman" w:cs="Times New Roman"/>
                <w:color w:val="auto"/>
                <w:szCs w:val="22"/>
                <w:highlight w:val="none"/>
                <w:lang w:val="en-US" w:eastAsia="zh-CN"/>
              </w:rPr>
              <w:t>X、</w:t>
            </w:r>
            <w:r>
              <w:rPr>
                <w:rFonts w:hint="eastAsia" w:ascii="Times New Roman" w:hAnsi="Times New Roman" w:cs="Times New Roman"/>
                <w:color w:val="auto"/>
                <w:szCs w:val="22"/>
                <w:highlight w:val="none"/>
                <w:lang w:val="en-US" w:eastAsia="zh-CN"/>
              </w:rPr>
              <w:t>聂</w:t>
            </w:r>
            <w:r>
              <w:rPr>
                <w:rFonts w:hint="default" w:ascii="Times New Roman" w:hAnsi="Times New Roman" w:cs="Times New Roman"/>
                <w:color w:val="auto"/>
                <w:szCs w:val="22"/>
                <w:highlight w:val="none"/>
                <w:lang w:val="en-US" w:eastAsia="zh-CN"/>
              </w:rPr>
              <w:t>XX等人，</w:t>
            </w:r>
            <w:r>
              <w:rPr>
                <w:rFonts w:hint="eastAsia" w:cs="Times New Roman"/>
                <w:color w:val="auto"/>
                <w:szCs w:val="22"/>
                <w:highlight w:val="none"/>
                <w:lang w:val="en-US" w:eastAsia="zh-CN"/>
              </w:rPr>
              <w:t>听力、心肺</w:t>
            </w:r>
            <w:r>
              <w:rPr>
                <w:rFonts w:hint="default" w:ascii="Times New Roman" w:hAnsi="Times New Roman" w:cs="Times New Roman"/>
                <w:color w:val="auto"/>
                <w:szCs w:val="22"/>
                <w:highlight w:val="none"/>
                <w:lang w:val="en-US" w:eastAsia="zh-CN"/>
              </w:rPr>
              <w:t>均正常；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bookmarkStart w:id="3" w:name="_GoBack"/>
            <w:r>
              <w:rPr>
                <w:rFonts w:hint="eastAsia"/>
                <w:highlight w:val="none"/>
                <w:lang w:val="en-US" w:eastAsia="zh-CN"/>
              </w:rPr>
              <w:t>2022年6月27-28日</w:t>
            </w:r>
            <w:bookmarkEnd w:id="3"/>
            <w:r>
              <w:rPr>
                <w:rFonts w:hint="eastAsia"/>
                <w:highlight w:val="none"/>
                <w:lang w:val="en-US" w:eastAsia="zh-CN"/>
              </w:rPr>
              <w:t>，对各部门进行了内审，保留了内审计划、内审记录、不符合报告、内审报告；内审覆盖了管理体系范围内的活动及标准的要求；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本次内审开具不符合报告1份，已整改，有整改验收记录；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highlight w:val="none"/>
                <w:lang w:val="en-US" w:eastAsia="zh-CN"/>
              </w:rPr>
              <w:t>内审结论为：三体系运行基本良好，运行达到一定的效果，基本符合GB/T19001-2016、GB/T24001-2016、GB/T45001-2020标准的要求，但仍存在不足，各部门应举一反三，对类似问题予以整改。。</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27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1062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基本符合标准规定要求。</w:t>
            </w:r>
          </w:p>
        </w:tc>
        <w:tc>
          <w:tcPr>
            <w:tcW w:w="96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27A76EE"/>
    <w:rsid w:val="3188130F"/>
    <w:rsid w:val="56285874"/>
    <w:rsid w:val="5A782396"/>
    <w:rsid w:val="7DB13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3600</Words>
  <Characters>3934</Characters>
  <Lines>1</Lines>
  <Paragraphs>1</Paragraphs>
  <TotalTime>7</TotalTime>
  <ScaleCrop>false</ScaleCrop>
  <LinksUpToDate>false</LinksUpToDate>
  <CharactersWithSpaces>3978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2022-09-25T03:25:56Z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584EC029A2224A50A8084D36141996A3</vt:lpwstr>
  </property>
  <property fmtid="{D5CDD505-2E9C-101B-9397-08002B2CF9AE}" pid="3" name="KSOProductBuildVer">
    <vt:lpwstr>2052-11.1.0.12358</vt:lpwstr>
  </property>
</Properties>
</file>