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393"/>
        <w:gridCol w:w="1060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7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受审核部门：品质部             主管领导：敖青萍       陪同人员：</w:t>
            </w:r>
            <w:bookmarkStart w:id="0" w:name="管理者代表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黄海红</w:t>
            </w:r>
            <w:bookmarkEnd w:id="0"/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Merge w:val="continue"/>
            <w:vAlign w:val="center"/>
          </w:tcPr>
          <w:p/>
        </w:tc>
        <w:tc>
          <w:tcPr>
            <w:tcW w:w="1393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2022年09月26日</w:t>
            </w:r>
            <w:bookmarkEnd w:id="2"/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vMerge w:val="continue"/>
            <w:vAlign w:val="center"/>
          </w:tcPr>
          <w:p/>
        </w:tc>
        <w:tc>
          <w:tcPr>
            <w:tcW w:w="1393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目标、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8.6放行、8.7不合格品控制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E/O:5.3组织的岗位、职责和权限、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环境因素/危险源的识别与评价、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运行策划和控制、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产品品质控制，主要包括公司的监视和测量设备管理，原材料、成品的检验，并对不合格品进行控制；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组织本部门的环境因素、危险源的识别、评价及控制。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查见品质部目标分解及完成情况：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产品出厂合格率100%，进厂原材料合格率100%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监视和测量设备鉴定率100%，合格率100%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员工重大伤亡事故为零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火灾、爆炸事故为0；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制定“环境安全管理方案”，对重要环境因素和不可接受风险的控制措施进行了策划；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保留“目标分解考核表”，2022.9.10进行了考核，显示所有目标均已完成。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QEO:6.1.2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查“环境因素识别和评价表”，涉及品质部的环境因素有纸张使用能源消耗、办公场所吸烟污染环境、复印机打印机废墨盒处置污染环境、火灾发生后废弃物污染大气、水土等。考虑了生命周期观点。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查“重要环境因素清单”，列有办公活动的潜在火灾、爆炸、固废、废硒鼓为重要环境因素。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查“危险源辨识、风险评价和控制措施的确定表”，识别了办公活动过程及相关方活动中的危险源，主要包括车辆伤害、火灾、中暑、其他伤害、机械伤害、其他伤害、起重伤害、物体打击等。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查“不可接受风险清单”，评价出重大危险源包括：触电伤害、潜在火灾。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106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办公面积大约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0平方米，工作场所布局合理，座椅和办公桌符合人体工程学要求，员工有自我防护意识，工间能适当走动、休息；各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坐姿正确，避免过度疲劳；电脑显示器调整到保护视力的颜色；配置有适量的绿植，办公环境光照、温度适宜，通风良好，办公场所物品摆放整齐、有序，未见随意乱放私人物品的情况；满足办公需求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象。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查见配置有灭火器，状态良好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消防通道、应急指示良好，</w:t>
            </w:r>
            <w:r>
              <w:rPr>
                <w:rFonts w:hint="eastAsia"/>
                <w:lang w:val="en-US" w:eastAsia="zh-CN"/>
              </w:rPr>
              <w:t>监控摄像头运行正常；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节约用水用电、纸张双面使用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生活废水经市政管网排放；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办公垃圾由环卫部门收集处理；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办公用墨盒硒鼓等危废以旧换新；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106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参加生产部组织的</w:t>
            </w:r>
            <w:r>
              <w:rPr>
                <w:rFonts w:hint="eastAsia" w:cs="Times New Roman"/>
                <w:szCs w:val="22"/>
                <w:lang w:val="en-US" w:eastAsia="zh-CN"/>
              </w:rPr>
              <w:t>应急演练，详见生产部审核记录。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监视和测量资源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Q:</w:t>
            </w:r>
            <w:r>
              <w:rPr>
                <w:rFonts w:ascii="宋体" w:hAnsi="宋体" w:cs="Arial"/>
                <w:szCs w:val="21"/>
              </w:rPr>
              <w:t>7.1.5</w:t>
            </w:r>
          </w:p>
        </w:tc>
        <w:tc>
          <w:tcPr>
            <w:tcW w:w="1060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AnsiTheme="minorEastAsia"/>
              </w:rPr>
            </w:pPr>
            <w:r>
              <w:rPr>
                <w:rFonts w:hint="eastAsia" w:hAnsiTheme="minorEastAsia"/>
              </w:rPr>
              <w:t>有建立“监视和测量控制程序”并在过程控制中实施。</w:t>
            </w:r>
          </w:p>
          <w:p>
            <w:pPr>
              <w:spacing w:line="360" w:lineRule="auto"/>
              <w:ind w:firstLine="420" w:firstLineChars="200"/>
              <w:rPr>
                <w:rFonts w:hAnsiTheme="minorEastAsia"/>
              </w:rPr>
            </w:pPr>
            <w:r>
              <w:rPr>
                <w:rFonts w:hint="eastAsia" w:hAnsiTheme="minorEastAsia"/>
              </w:rPr>
              <w:t>监视测量设备包括卷尺、游标卡尺；</w:t>
            </w:r>
          </w:p>
          <w:p>
            <w:pPr>
              <w:spacing w:line="360" w:lineRule="auto"/>
              <w:ind w:firstLine="420" w:firstLineChars="200"/>
              <w:rPr>
                <w:rFonts w:hAnsiTheme="minorEastAsia"/>
              </w:rPr>
            </w:pPr>
            <w:r>
              <w:rPr>
                <w:rFonts w:hint="eastAsia" w:hAnsiTheme="minorEastAsia"/>
              </w:rPr>
              <w:t>查见的量具检定证书：</w:t>
            </w:r>
          </w:p>
          <w:p>
            <w:pPr>
              <w:spacing w:line="360" w:lineRule="auto"/>
              <w:ind w:firstLine="420" w:firstLineChars="200"/>
              <w:rPr>
                <w:rFonts w:hAnsiTheme="minorEastAsia"/>
              </w:rPr>
            </w:pPr>
            <w:r>
              <w:rPr>
                <w:rFonts w:hint="eastAsia" w:hAnsiTheme="minorEastAsia"/>
              </w:rPr>
              <w:t>钢卷尺——规格型号：</w:t>
            </w:r>
            <w:r>
              <w:rPr>
                <w:rFonts w:hint="eastAsia" w:hAnsiTheme="minorEastAsia"/>
                <w:lang w:val="en-US" w:eastAsia="zh-CN"/>
              </w:rPr>
              <w:t>5</w:t>
            </w:r>
            <w:r>
              <w:rPr>
                <w:rFonts w:hAnsiTheme="minorEastAsia"/>
              </w:rPr>
              <w:t>m</w:t>
            </w:r>
            <w:r>
              <w:rPr>
                <w:rFonts w:hint="eastAsia" w:hAnsiTheme="minorEastAsia"/>
              </w:rPr>
              <w:t>，由</w:t>
            </w:r>
            <w:r>
              <w:rPr>
                <w:rFonts w:hint="eastAsia" w:hAnsiTheme="minorEastAsia"/>
                <w:lang w:eastAsia="zh-CN"/>
              </w:rPr>
              <w:t>广东省电子电器研究所</w:t>
            </w:r>
            <w:r>
              <w:rPr>
                <w:rFonts w:hint="eastAsia" w:hAnsiTheme="minorEastAsia"/>
              </w:rPr>
              <w:t>校准合格，校准日期2</w:t>
            </w:r>
            <w:r>
              <w:rPr>
                <w:rFonts w:hAnsiTheme="minorEastAsia"/>
              </w:rPr>
              <w:t>02</w:t>
            </w:r>
            <w:r>
              <w:rPr>
                <w:rFonts w:hint="eastAsia" w:hAnsiTheme="minorEastAsia"/>
              </w:rPr>
              <w:t>2.9.2</w:t>
            </w:r>
          </w:p>
          <w:p>
            <w:pPr>
              <w:spacing w:line="360" w:lineRule="auto"/>
              <w:ind w:firstLine="420" w:firstLineChars="200"/>
              <w:rPr>
                <w:rFonts w:hAnsiTheme="minorEastAsia"/>
              </w:rPr>
            </w:pPr>
            <w:r>
              <w:rPr>
                <w:rFonts w:hint="eastAsia" w:hAnsiTheme="minorEastAsia"/>
              </w:rPr>
              <w:t>游标卡尺——规格型号：</w:t>
            </w:r>
            <w:r>
              <w:rPr>
                <w:rFonts w:hAnsiTheme="minorEastAsia"/>
              </w:rPr>
              <w:t>0-</w:t>
            </w:r>
            <w:r>
              <w:rPr>
                <w:rFonts w:hint="eastAsia" w:hAnsiTheme="minorEastAsia"/>
                <w:lang w:val="en-US" w:eastAsia="zh-CN"/>
              </w:rPr>
              <w:t>15</w:t>
            </w:r>
            <w:r>
              <w:rPr>
                <w:rFonts w:hAnsiTheme="minorEastAsia"/>
              </w:rPr>
              <w:t>0mm</w:t>
            </w:r>
            <w:r>
              <w:rPr>
                <w:rFonts w:hint="eastAsia" w:hAnsiTheme="minorEastAsia"/>
              </w:rPr>
              <w:t>，由</w:t>
            </w:r>
            <w:r>
              <w:rPr>
                <w:rFonts w:hint="eastAsia" w:hAnsiTheme="minorEastAsia"/>
                <w:lang w:eastAsia="zh-CN"/>
              </w:rPr>
              <w:t>广东省电子电器研究所</w:t>
            </w:r>
            <w:r>
              <w:rPr>
                <w:rFonts w:hint="eastAsia" w:hAnsiTheme="minorEastAsia"/>
              </w:rPr>
              <w:t>校准合格，校准日期2</w:t>
            </w:r>
            <w:r>
              <w:rPr>
                <w:rFonts w:hAnsiTheme="minorEastAsia"/>
              </w:rPr>
              <w:t>02</w:t>
            </w:r>
            <w:r>
              <w:rPr>
                <w:rFonts w:hint="eastAsia" w:hAnsiTheme="minorEastAsia"/>
              </w:rPr>
              <w:t>2.9.2</w:t>
            </w:r>
          </w:p>
          <w:p>
            <w:pPr>
              <w:spacing w:line="400" w:lineRule="exact"/>
              <w:ind w:left="105" w:leftChars="50" w:firstLine="315" w:firstLineChars="15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监测装置基本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满足过程控制需要。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产品和服务的放行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Q8.6</w:t>
            </w:r>
          </w:p>
        </w:tc>
        <w:tc>
          <w:tcPr>
            <w:tcW w:w="1060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公司编制了《产品检验和试验控制程序》，规定了对原材料、过程产品、成品实施检验，并制定了相应的检验规范。</w:t>
            </w:r>
          </w:p>
          <w:p>
            <w:pPr>
              <w:spacing w:line="360" w:lineRule="auto"/>
              <w:ind w:firstLine="422" w:firstLineChars="20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（一）原材料检验，检验依据：原材料检验规程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抽见</w:t>
            </w:r>
            <w:r>
              <w:rPr>
                <w:rFonts w:hint="eastAsia"/>
              </w:rPr>
              <w:t>进货检验记录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2022.5.11——</w:t>
            </w:r>
            <w:r>
              <w:rPr>
                <w:rFonts w:hint="eastAsia"/>
              </w:rPr>
              <w:t>彩钢板，对数量、外观、</w:t>
            </w:r>
            <w:r>
              <w:rPr>
                <w:rFonts w:hint="eastAsia"/>
                <w:lang w:eastAsia="zh-CN"/>
              </w:rPr>
              <w:t>材质</w:t>
            </w:r>
            <w:r>
              <w:rPr>
                <w:rFonts w:hint="eastAsia"/>
              </w:rPr>
              <w:t>进行了检验，结果合格，检验员敖青萍。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2022.7.26——</w:t>
            </w:r>
            <w:r>
              <w:rPr>
                <w:rFonts w:hint="eastAsia"/>
              </w:rPr>
              <w:t>铝</w:t>
            </w:r>
            <w:r>
              <w:rPr>
                <w:rFonts w:hint="eastAsia"/>
                <w:lang w:val="en-US" w:eastAsia="zh-CN"/>
              </w:rPr>
              <w:t>合金</w:t>
            </w:r>
            <w:r>
              <w:rPr>
                <w:rFonts w:hint="eastAsia"/>
              </w:rPr>
              <w:t>，对数量、外观、</w:t>
            </w:r>
            <w:r>
              <w:rPr>
                <w:rFonts w:hint="eastAsia"/>
                <w:lang w:eastAsia="zh-CN"/>
              </w:rPr>
              <w:t>材质</w:t>
            </w:r>
            <w:r>
              <w:rPr>
                <w:rFonts w:hint="eastAsia"/>
              </w:rPr>
              <w:t>进行了检验，结果合格，检验员敖青萍。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2022.8.16——五金配件</w:t>
            </w:r>
            <w:r>
              <w:rPr>
                <w:rFonts w:hint="eastAsia"/>
              </w:rPr>
              <w:t>，对数量、外观、</w:t>
            </w:r>
            <w:r>
              <w:rPr>
                <w:rFonts w:hint="eastAsia"/>
                <w:lang w:eastAsia="zh-CN"/>
              </w:rPr>
              <w:t>材质</w:t>
            </w:r>
            <w:r>
              <w:rPr>
                <w:rFonts w:hint="eastAsia"/>
              </w:rPr>
              <w:t>进行了检验，结果合格，检验员敖青萍。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保留供应商提供的材质检验报告，抽见：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产品质量证明书——</w:t>
            </w:r>
            <w:r>
              <w:rPr>
                <w:rFonts w:hint="eastAsia"/>
                <w:lang w:val="en-US" w:eastAsia="zh-CN"/>
              </w:rPr>
              <w:t>2022.8.17，山东佳铭金属制品有限公司，彩钢卷；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组织或顾客拟在供方进行现场验证时，将在采购合同中明确，未发生。</w:t>
            </w:r>
          </w:p>
          <w:p>
            <w:pPr>
              <w:spacing w:line="360" w:lineRule="auto"/>
              <w:ind w:firstLine="422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（二）过程检验，检验依据：产品检验规范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</w:t>
            </w:r>
            <w:bookmarkStart w:id="3" w:name="_GoBack"/>
            <w:bookmarkEnd w:id="3"/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抽见产品巡检记录：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2022.5.24——骨灰盒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存放架，剪板下料、冲压、折边、折弯、组装作业等工序的开料尺寸、尺寸精度、角度、平整度、是否有破损等进行了检验；组装工序不良品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1套，其他合格；质检员签字；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2022.7.19——骨灰盒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存放架，单穴，剪板下料、冲压、折边、折弯、组装作业等工序的开料尺寸、尺寸精度、角度、平整度、是否有破损等进行了检验；实测质量均符合；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质检员签字；</w:t>
            </w:r>
          </w:p>
          <w:p>
            <w:pPr>
              <w:spacing w:line="360" w:lineRule="auto"/>
              <w:ind w:firstLine="422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（三）成品检验：检验依据产品检验规范、图纸、国标，检验项目符合要求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抽见成品检验记录：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成品检验单——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骨灰盒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存放架，数量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834套，抽样40门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，检验项目：主要尺寸、外形尺寸公差、外观、配件、耐压性能要求等，检验结论：合格；检验员：敖青萍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/2022.5.24；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成品检验单——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骨灰盒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存放架（单穴），数量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210门，抽样10门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，检验项目：主要尺寸、外形尺寸公差、外观、配件、耐压性能要求等，检验结论：合格；检验员：敖青萍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/2022.7.19；</w:t>
            </w:r>
          </w:p>
          <w:p>
            <w:pPr>
              <w:spacing w:line="360" w:lineRule="auto"/>
              <w:ind w:firstLine="422" w:firstLineChars="200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(四)第三方检验：检验依据：GB/T3325-2017金属家具通用技术条件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提供国家家具产品质量检验中心（江西）的产品检验报告，202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1.9.30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日，结论符合。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lang w:eastAsia="zh-CN"/>
              </w:rPr>
              <w:t>报告临近失效，交流；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产品的放行基本符合要求。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7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不合格输出的控制</w:t>
            </w:r>
          </w:p>
        </w:tc>
        <w:tc>
          <w:tcPr>
            <w:tcW w:w="1393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Q8.7</w:t>
            </w:r>
          </w:p>
        </w:tc>
        <w:tc>
          <w:tcPr>
            <w:tcW w:w="10607" w:type="dxa"/>
            <w:vAlign w:val="top"/>
          </w:tcPr>
          <w:p>
            <w:pPr>
              <w:spacing w:line="400" w:lineRule="exact"/>
              <w:ind w:left="105" w:leftChars="50" w:firstLine="315" w:firstLineChars="15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公司制定并执行了《不合格品控制程序》，文件对不合格品的识别、控制方法、职责权限作出了具体规定，基本符合标准要求。</w:t>
            </w:r>
          </w:p>
          <w:p>
            <w:pPr>
              <w:spacing w:line="400" w:lineRule="exact"/>
              <w:ind w:left="105" w:leftChars="50" w:firstLine="315" w:firstLineChars="15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对采购不合格品实施拒收退货；对生产过程的不合格品视情况处理：</w:t>
            </w:r>
          </w:p>
          <w:p>
            <w:pPr>
              <w:spacing w:line="400" w:lineRule="exact"/>
              <w:ind w:left="105" w:leftChars="50" w:firstLine="315" w:firstLineChars="15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抽见《不合格品报告》，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2022.5.17，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不合格事实进行了描述，进行了原因分析，明确了处置方式：返修，进行了跟踪验证；检验员和责任人员签名。</w:t>
            </w:r>
          </w:p>
          <w:p>
            <w:pPr>
              <w:spacing w:line="400" w:lineRule="exact"/>
              <w:ind w:left="105" w:leftChars="50" w:firstLine="315" w:firstLineChars="15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组织不合格品控制基本有效。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41E817A5"/>
    <w:rsid w:val="59CF12F0"/>
    <w:rsid w:val="60B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2332</Words>
  <Characters>2550</Characters>
  <Lines>1</Lines>
  <Paragraphs>1</Paragraphs>
  <TotalTime>14</TotalTime>
  <ScaleCrop>false</ScaleCrop>
  <LinksUpToDate>false</LinksUpToDate>
  <CharactersWithSpaces>2599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2022-09-25T03:25:58Z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D8E55815C6294FC3A2666946905D6C5E</vt:lpwstr>
  </property>
  <property fmtid="{D5CDD505-2E9C-101B-9397-08002B2CF9AE}" pid="3" name="KSOProductBuildVer">
    <vt:lpwstr>2052-11.1.0.12358</vt:lpwstr>
  </property>
</Properties>
</file>