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江西天晟金属设备有限公司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江西省宜春市樟树市洋湖工业园东阁粮库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生产地址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sz w:val="20"/>
              </w:rPr>
              <w:t>江西省宜春市樟树市洋湖工业园东阁粮库</w:t>
            </w:r>
          </w:p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经营地址：江西省樟树市杏佛路88号曼哈顿国际都会31栋一单元906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汪建香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15970509713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huangjianxiang-12@163.com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0881-2021-QEO-2022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Q：骨灰盒存放架的制造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E：骨灰盒存放架的制造所涉及场所的相关环境管理活动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O：骨灰盒存放架的制造所涉及场所的相关职业健康安全管理活动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2022年09月24日 上午至2022年09月26日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2022.9.24</w:t>
            </w:r>
          </w:p>
        </w:tc>
      </w:tr>
    </w:tbl>
    <w:p>
      <w:bookmarkStart w:id="36" w:name="_GoBack"/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-765810</wp:posOffset>
            </wp:positionV>
            <wp:extent cx="7574280" cy="10713720"/>
            <wp:effectExtent l="0" t="0" r="7620" b="11430"/>
            <wp:wrapNone/>
            <wp:docPr id="1" name="图片 1" descr="DX-2008UC_20220926_103521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X-2008UC_20220926_103521_页面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71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  <w:r>
        <w:br w:type="page"/>
      </w:r>
    </w:p>
    <w:p>
      <w:pPr>
        <w:pStyle w:val="9"/>
        <w:jc w:val="center"/>
        <w:rPr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审核日程安排</w:t>
      </w:r>
    </w:p>
    <w:tbl>
      <w:tblPr>
        <w:tblStyle w:val="6"/>
        <w:tblpPr w:leftFromText="180" w:rightFromText="180" w:vertAnchor="text" w:horzAnchor="page" w:tblpX="897" w:tblpY="94"/>
        <w:tblOverlap w:val="never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75"/>
        <w:gridCol w:w="945"/>
        <w:gridCol w:w="5932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93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9.24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09:00-09:30</w:t>
            </w:r>
          </w:p>
        </w:tc>
        <w:tc>
          <w:tcPr>
            <w:tcW w:w="6877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6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09:30-10</w:t>
            </w: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945" w:type="dxa"/>
            <w:shd w:val="clear" w:color="auto" w:fill="auto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pStyle w:val="9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安全事务代表</w:t>
            </w:r>
          </w:p>
        </w:tc>
        <w:tc>
          <w:tcPr>
            <w:tcW w:w="593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Q/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：4.1理解组织及其环境、4.2理解相关方的需求和期望、4.3确定管理体系的范围、4.4管理体系及其过程、5.1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领导作用、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方针、5.3组织的岗位、职责和权限、6.1应对风险和机遇的措施、6.2目标及其实现的策划、7.1资源、7.4沟通/信息交流、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Q:6.3体系变更、8.3删减确认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O:5.4协商与参与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对上次审核问题整改情况的确认；事故事件及起处理情况，环境、安全监测情况、证书标志使用情况等</w:t>
            </w:r>
          </w:p>
        </w:tc>
        <w:tc>
          <w:tcPr>
            <w:tcW w:w="106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10:00-17:30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00-12</w:t>
            </w: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945" w:type="dxa"/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</w:tc>
        <w:tc>
          <w:tcPr>
            <w:tcW w:w="593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5.3组织的岗位、职责和权限、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7.1资源、7.1.2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人员、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7.2能力、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7.3意识、7.5成文信息、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组织的知识、9.1.1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监视、测量、分析和评价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环境因素/危险源的识别与评价、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7.2能力、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7.3意识、7.5成文信息、8.1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应急准备和响应、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监视、测量、分析和评价、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9.1.3分析与评价、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内部审核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10.2改进</w:t>
            </w:r>
          </w:p>
        </w:tc>
        <w:tc>
          <w:tcPr>
            <w:tcW w:w="106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9.25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08:30-12:00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9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93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7.1.3基础设施、7.1.4过程环境、8.1运行策划、8.5生产过程控制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环境因素/危险源的识别与评价、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合规义务、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合规性评价、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运行策划和控制、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6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945" w:type="dxa"/>
            <w:shd w:val="clear" w:color="auto" w:fill="auto"/>
            <w:vAlign w:val="top"/>
          </w:tcPr>
          <w:p>
            <w:pPr>
              <w:pStyle w:val="9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供销部</w:t>
            </w:r>
          </w:p>
        </w:tc>
        <w:tc>
          <w:tcPr>
            <w:tcW w:w="593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5.3组织的岗位、职责和权限、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8.2顾客要求、8.4外部提供控制、8.5.5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交付后的活动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5.3组织的岗位、职责和权限、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环境因素/危险源的识别与评价、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运行策划和控制、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6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9.26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08:30-12:00</w:t>
            </w:r>
          </w:p>
        </w:tc>
        <w:tc>
          <w:tcPr>
            <w:tcW w:w="945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楷体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593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E/O:5.3组织的岗位、职责和权限、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环境因素/危险源的识别与评价、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运行策划和控制、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6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877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6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4FC5190"/>
    <w:rsid w:val="26324F22"/>
    <w:rsid w:val="579B552E"/>
    <w:rsid w:val="65D83619"/>
    <w:rsid w:val="72B17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1935</Words>
  <Characters>2811</Characters>
  <Lines>37</Lines>
  <Paragraphs>10</Paragraphs>
  <TotalTime>1</TotalTime>
  <ScaleCrop>false</ScaleCrop>
  <LinksUpToDate>false</LinksUpToDate>
  <CharactersWithSpaces>2866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2022-09-26T02:13:30Z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