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6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60" w:type="dxa"/>
            <w:vAlign w:val="center"/>
          </w:tcPr>
          <w:p>
            <w:pPr>
              <w:spacing w:line="360" w:lineRule="auto"/>
              <w:rPr>
                <w:sz w:val="24"/>
                <w:szCs w:val="24"/>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lang w:eastAsia="zh-CN"/>
              </w:rPr>
              <w:t>雷新发</w:t>
            </w:r>
            <w:r>
              <w:rPr>
                <w:rFonts w:hint="eastAsia"/>
                <w:sz w:val="24"/>
                <w:szCs w:val="24"/>
                <w:lang w:val="en-US" w:eastAsia="zh-CN"/>
              </w:rPr>
              <w:t xml:space="preserve"> </w:t>
            </w:r>
            <w:r>
              <w:rPr>
                <w:rFonts w:hint="eastAsia"/>
                <w:sz w:val="24"/>
                <w:szCs w:val="24"/>
              </w:rPr>
              <w:t>章琳芳</w:t>
            </w:r>
            <w:bookmarkEnd w:id="0"/>
            <w:r>
              <w:rPr>
                <w:rFonts w:hint="eastAsia"/>
                <w:sz w:val="24"/>
                <w:szCs w:val="24"/>
                <w:lang w:val="en-US" w:eastAsia="zh-CN"/>
              </w:rPr>
              <w:t xml:space="preserve">    </w:t>
            </w:r>
            <w:r>
              <w:rPr>
                <w:rFonts w:hint="eastAsia"/>
                <w:sz w:val="24"/>
                <w:szCs w:val="24"/>
              </w:rPr>
              <w:t>陪同人员：</w:t>
            </w:r>
          </w:p>
        </w:tc>
        <w:tc>
          <w:tcPr>
            <w:tcW w:w="102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560" w:type="dxa"/>
            <w:vAlign w:val="center"/>
          </w:tcPr>
          <w:p>
            <w:pPr>
              <w:spacing w:before="120" w:line="360" w:lineRule="auto"/>
            </w:pPr>
            <w:r>
              <w:rPr>
                <w:rFonts w:hint="eastAsia"/>
                <w:sz w:val="24"/>
                <w:szCs w:val="24"/>
              </w:rPr>
              <w:t>审核员：</w:t>
            </w:r>
            <w:bookmarkStart w:id="1" w:name="审核组成员不含组长"/>
            <w:r>
              <w:rPr>
                <w:rFonts w:hint="eastAsia"/>
                <w:sz w:val="24"/>
                <w:szCs w:val="24"/>
              </w:rPr>
              <w:t>林郁</w:t>
            </w:r>
            <w:bookmarkEnd w:id="1"/>
            <w:r>
              <w:rPr>
                <w:rFonts w:hint="eastAsia"/>
                <w:sz w:val="24"/>
                <w:szCs w:val="24"/>
                <w:lang w:val="en-US" w:eastAsia="zh-CN"/>
              </w:rPr>
              <w:t xml:space="preserve">  褚敏杰          </w:t>
            </w:r>
            <w:r>
              <w:rPr>
                <w:rFonts w:hint="eastAsia"/>
                <w:sz w:val="24"/>
                <w:szCs w:val="24"/>
                <w:lang w:eastAsia="zh-CN"/>
              </w:rPr>
              <w:t>审核时间：</w:t>
            </w:r>
            <w:bookmarkStart w:id="2" w:name="审核日期"/>
            <w:r>
              <w:rPr>
                <w:rFonts w:hint="eastAsia"/>
                <w:sz w:val="24"/>
                <w:szCs w:val="24"/>
                <w:lang w:eastAsia="zh-CN"/>
              </w:rPr>
              <w:t>2022年09月19日</w:t>
            </w:r>
            <w:bookmarkEnd w:id="2"/>
          </w:p>
        </w:tc>
        <w:tc>
          <w:tcPr>
            <w:tcW w:w="102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560" w:type="dxa"/>
            <w:vAlign w:val="center"/>
          </w:tcPr>
          <w:p>
            <w:pPr>
              <w:rPr>
                <w:rFonts w:hint="eastAsia"/>
                <w:sz w:val="24"/>
                <w:szCs w:val="24"/>
              </w:rPr>
            </w:pPr>
            <w:r>
              <w:rPr>
                <w:rFonts w:hint="eastAsia"/>
                <w:sz w:val="24"/>
                <w:szCs w:val="24"/>
              </w:rPr>
              <w:t>审核条款：</w:t>
            </w:r>
          </w:p>
          <w:p>
            <w:pPr>
              <w:adjustRightInd w:val="0"/>
              <w:snapToGrid w:val="0"/>
              <w:spacing w:line="240" w:lineRule="auto"/>
              <w:ind w:right="105" w:rightChars="50"/>
              <w:textAlignment w:val="baseline"/>
              <w:rPr>
                <w:rFonts w:hint="eastAsia" w:ascii="宋体" w:hAnsi="宋体" w:cs="Arial"/>
                <w:sz w:val="21"/>
                <w:szCs w:val="21"/>
              </w:rPr>
            </w:pPr>
            <w:r>
              <w:rPr>
                <w:rFonts w:hint="eastAsia" w:ascii="宋体" w:hAnsi="宋体" w:cs="Arial"/>
                <w:sz w:val="21"/>
                <w:szCs w:val="21"/>
              </w:rPr>
              <w:t>QE:4.1理解组织及其环境、4.2理解相关方的需求和期望、4.3确定管理体系的范围、4.4质量/环境管理体系及其过程、5.1领导作用和承诺、5.2质量/环境方针、5.3组织的岗位、职责和权限、6.1应对风险和机遇的措施、6.2质量/环境目标及其实现的策划、7.1.1（E7.1）资源总则、7.4沟通/信息交流、9.3管理评审、10.1改进、10.3持续改进</w:t>
            </w:r>
          </w:p>
          <w:p>
            <w:pPr>
              <w:adjustRightInd w:val="0"/>
              <w:snapToGrid w:val="0"/>
              <w:spacing w:line="240" w:lineRule="auto"/>
              <w:ind w:right="105" w:rightChars="50"/>
              <w:textAlignment w:val="baseline"/>
              <w:rPr>
                <w:rFonts w:hint="eastAsia"/>
              </w:rPr>
            </w:pPr>
            <w:r>
              <w:rPr>
                <w:rFonts w:hint="eastAsia" w:ascii="宋体" w:hAnsi="宋体" w:cs="Arial"/>
                <w:sz w:val="21"/>
                <w:szCs w:val="21"/>
              </w:rPr>
              <w:t>Q6.3变更的策划</w:t>
            </w:r>
          </w:p>
          <w:p>
            <w:pPr>
              <w:rPr>
                <w:rFonts w:hint="eastAsia"/>
                <w:sz w:val="24"/>
                <w:szCs w:val="24"/>
              </w:rPr>
            </w:pPr>
            <w:r>
              <w:rPr>
                <w:rFonts w:hint="eastAsia" w:ascii="宋体" w:hAnsi="宋体" w:cs="Arial"/>
                <w:sz w:val="21"/>
                <w:szCs w:val="21"/>
                <w:u w:val="none"/>
              </w:rPr>
              <w:t>国家/地方监督抽查情况；顾客满意、相关方投诉及处理情况</w:t>
            </w:r>
            <w:r>
              <w:rPr>
                <w:rFonts w:hint="eastAsia" w:ascii="宋体" w:hAnsi="宋体" w:cs="Arial"/>
                <w:sz w:val="21"/>
                <w:szCs w:val="21"/>
                <w:u w:val="none"/>
                <w:lang w:eastAsia="zh-CN"/>
              </w:rPr>
              <w:t>，一阶段审核问题</w:t>
            </w:r>
            <w:r>
              <w:rPr>
                <w:rFonts w:hint="eastAsia" w:ascii="宋体" w:hAnsi="宋体" w:cs="Arial"/>
                <w:sz w:val="21"/>
                <w:szCs w:val="21"/>
                <w:u w:val="none"/>
              </w:rPr>
              <w:t>验证，验证企业相关资质证明的有效性</w:t>
            </w:r>
          </w:p>
        </w:tc>
        <w:tc>
          <w:tcPr>
            <w:tcW w:w="102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ascii="Times New Roman" w:hAnsi="Times New Roman" w:eastAsia="宋体" w:cs="Times New Roman"/>
                <w:kern w:val="2"/>
                <w:sz w:val="21"/>
                <w:lang w:val="en-US" w:eastAsia="zh-CN" w:bidi="ar-SA"/>
              </w:rPr>
            </w:pPr>
            <w:r>
              <w:rPr>
                <w:rFonts w:hint="eastAsia" w:ascii="宋体" w:hAnsi="宋体" w:cs="Arial"/>
                <w:szCs w:val="21"/>
              </w:rPr>
              <w:t>理解组织及其环境</w:t>
            </w:r>
          </w:p>
        </w:tc>
        <w:tc>
          <w:tcPr>
            <w:tcW w:w="960" w:type="dxa"/>
            <w:vAlign w:val="top"/>
          </w:tcPr>
          <w:p>
            <w:pPr>
              <w:rPr>
                <w:rFonts w:ascii="Times New Roman" w:hAnsi="Times New Roman" w:eastAsia="宋体" w:cs="Times New Roman"/>
                <w:kern w:val="2"/>
                <w:sz w:val="21"/>
                <w:lang w:val="en-US" w:eastAsia="zh-CN" w:bidi="ar-SA"/>
              </w:rPr>
            </w:pPr>
            <w:r>
              <w:rPr>
                <w:rFonts w:hint="eastAsia"/>
              </w:rPr>
              <w:t>Q</w:t>
            </w:r>
            <w:r>
              <w:t>E</w:t>
            </w:r>
            <w:r>
              <w:rPr>
                <w:rFonts w:hint="eastAsia"/>
              </w:rPr>
              <w:t>：</w:t>
            </w:r>
            <w:r>
              <w:t>4.1</w:t>
            </w:r>
          </w:p>
        </w:tc>
        <w:tc>
          <w:tcPr>
            <w:tcW w:w="105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de-DE"/>
              </w:rPr>
            </w:pPr>
            <w:r>
              <w:rPr>
                <w:rFonts w:hint="eastAsia" w:ascii="Times New Roman" w:hAnsi="宋体" w:eastAsia="宋体" w:cs="Times New Roman"/>
                <w:szCs w:val="21"/>
                <w:lang w:val="de-DE"/>
              </w:rPr>
              <w:t>江西凯鑫家具有限公司成立于2010年04月27日，注册资金</w:t>
            </w:r>
            <w:r>
              <w:rPr>
                <w:rFonts w:hint="eastAsia" w:ascii="Times New Roman" w:hAnsi="宋体" w:eastAsia="宋体" w:cs="Times New Roman"/>
                <w:szCs w:val="21"/>
                <w:lang w:val="en-US" w:eastAsia="zh-CN"/>
              </w:rPr>
              <w:t>8000</w:t>
            </w:r>
            <w:r>
              <w:rPr>
                <w:rFonts w:hint="eastAsia" w:ascii="Times New Roman" w:hAnsi="宋体" w:eastAsia="宋体" w:cs="Times New Roman"/>
                <w:szCs w:val="21"/>
                <w:lang w:val="de-DE"/>
              </w:rPr>
              <w:t xml:space="preserve">万元。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de-DE"/>
              </w:rPr>
            </w:pPr>
            <w:r>
              <w:rPr>
                <w:rFonts w:hint="eastAsia" w:ascii="Times New Roman" w:hAnsi="宋体" w:eastAsia="宋体" w:cs="Times New Roman"/>
                <w:szCs w:val="21"/>
                <w:lang w:val="de-DE"/>
              </w:rPr>
              <w:t>注册地址：江西省南昌市南昌县小蓝经济技术开发区西湾二路76号；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de-DE"/>
              </w:rPr>
            </w:pPr>
            <w:r>
              <w:rPr>
                <w:rFonts w:hint="eastAsia" w:ascii="Times New Roman" w:hAnsi="宋体" w:eastAsia="宋体" w:cs="Times New Roman"/>
                <w:szCs w:val="21"/>
                <w:lang w:val="de-DE"/>
              </w:rPr>
              <w:t>经营地址：江西省南昌市南昌县小蓝经济技术开发区西湾二路76号；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de-DE"/>
              </w:rPr>
            </w:pPr>
            <w:r>
              <w:rPr>
                <w:rFonts w:hint="eastAsia" w:ascii="Times New Roman" w:hAnsi="宋体" w:eastAsia="宋体" w:cs="Times New Roman"/>
                <w:szCs w:val="21"/>
              </w:rPr>
              <w:t>营业执照统一代码：</w:t>
            </w:r>
            <w:r>
              <w:rPr>
                <w:rFonts w:hint="eastAsia" w:ascii="Times New Roman" w:hAnsi="宋体" w:eastAsia="宋体" w:cs="Times New Roman"/>
                <w:szCs w:val="21"/>
                <w:lang w:val="de-DE"/>
              </w:rPr>
              <w:t>91360121553527208U；</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de-DE"/>
              </w:rPr>
            </w:pPr>
            <w:r>
              <w:rPr>
                <w:rFonts w:hint="eastAsia" w:ascii="Times New Roman" w:hAnsi="宋体" w:eastAsia="宋体" w:cs="Times New Roman"/>
                <w:szCs w:val="21"/>
              </w:rPr>
              <w:t>经营范围：</w:t>
            </w:r>
            <w:r>
              <w:rPr>
                <w:rFonts w:hint="eastAsia" w:ascii="Times New Roman" w:hAnsi="宋体" w:eastAsia="宋体" w:cs="Times New Roman"/>
                <w:szCs w:val="21"/>
                <w:lang w:val="de-DE"/>
              </w:rPr>
              <w:t>家具制造、销售。（国家有专项规定除外）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覆盖认证范围。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de-DE"/>
              </w:rPr>
            </w:pPr>
            <w:r>
              <w:rPr>
                <w:rFonts w:hint="eastAsia" w:ascii="Times New Roman" w:hAnsi="宋体" w:eastAsia="宋体" w:cs="Times New Roman"/>
                <w:szCs w:val="21"/>
                <w:lang w:val="de-DE"/>
              </w:rPr>
              <w:t>主要设备有：</w:t>
            </w:r>
            <w:r>
              <w:rPr>
                <w:rFonts w:hint="eastAsia" w:ascii="Times New Roman" w:hAnsi="宋体" w:eastAsia="宋体" w:cs="Times New Roman"/>
                <w:szCs w:val="21"/>
              </w:rPr>
              <w:t>激光切割机、精密推台锯、排钻、封边机、曲线封边机等；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主要环保设备：消防栓、灭火器、垃圾桶、除尘装置等；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公司对内外部因素进行监视和评审：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外部因素：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家具行业持续发展带来的机遇，安全环保的法规和政府对生产加工业的环保性、安全性和质量提出了越来越高的要求，行业有着非常大的提升空间，并取得迅速的发展。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原材料价格受国际、国内政策影响较大；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eastAsia="zh-CN"/>
              </w:rPr>
            </w:pPr>
            <w:r>
              <w:rPr>
                <w:rFonts w:hint="eastAsia" w:ascii="Times New Roman" w:hAnsi="宋体" w:eastAsia="宋体" w:cs="Times New Roman"/>
                <w:szCs w:val="21"/>
                <w:lang w:eastAsia="zh-CN"/>
              </w:rPr>
              <w:t>疫情等突发公共卫生事件对市场容量造成影响，竞争加剧，成本增加；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国内文化、社会因素影响因素很小。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与同类企业相比，具有设备精良、经验丰富、生产效率高、生产周期短、技术力量强等优势。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内部因素：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公司的人员均为有多年生产实践经验和质检及相关岗位管理工作经验；生产技术人员全部经过技能/合规性培训，业务熟练，质量意识、环境保护意识、意识较强。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采用先进成熟的生产工艺，产品、环境、有保证，产能有一定的优势。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en-US" w:eastAsia="zh-CN"/>
              </w:rPr>
            </w:pPr>
            <w:r>
              <w:rPr>
                <w:rFonts w:hint="eastAsia" w:ascii="Times New Roman" w:hAnsi="宋体" w:eastAsia="宋体" w:cs="Times New Roman"/>
                <w:szCs w:val="21"/>
              </w:rPr>
              <w:t>公司财务能保障公司质量/环境管理体系运行所需，公司的技术、基础设施、环保安全设施配备齐全、过程运行环境控制良好。</w:t>
            </w:r>
          </w:p>
        </w:tc>
        <w:tc>
          <w:tcPr>
            <w:tcW w:w="1029"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ascii="Times New Roman" w:hAnsi="Times New Roman" w:eastAsia="宋体" w:cs="Times New Roman"/>
                <w:kern w:val="2"/>
                <w:sz w:val="21"/>
                <w:lang w:val="en-US" w:eastAsia="zh-CN" w:bidi="ar-SA"/>
              </w:rPr>
            </w:pPr>
            <w:r>
              <w:rPr>
                <w:rFonts w:hint="eastAsia" w:ascii="宋体" w:hAnsi="宋体" w:cs="Arial"/>
                <w:szCs w:val="21"/>
              </w:rPr>
              <w:t>理解相关方的需求和期望</w:t>
            </w:r>
          </w:p>
        </w:tc>
        <w:tc>
          <w:tcPr>
            <w:tcW w:w="960" w:type="dxa"/>
            <w:vAlign w:val="top"/>
          </w:tcPr>
          <w:p>
            <w:pPr>
              <w:rPr>
                <w:rFonts w:ascii="Times New Roman" w:hAnsi="Times New Roman" w:eastAsia="宋体" w:cs="Times New Roman"/>
                <w:kern w:val="2"/>
                <w:sz w:val="21"/>
                <w:lang w:val="en-US" w:eastAsia="zh-CN" w:bidi="ar-SA"/>
              </w:rPr>
            </w:pPr>
            <w:r>
              <w:rPr>
                <w:rFonts w:hint="eastAsia"/>
              </w:rPr>
              <w:t>Q</w:t>
            </w:r>
            <w:r>
              <w:t>E</w:t>
            </w:r>
            <w:r>
              <w:rPr>
                <w:rFonts w:hint="eastAsia"/>
              </w:rPr>
              <w:t>：</w:t>
            </w:r>
            <w:r>
              <w:t>4.2</w:t>
            </w:r>
          </w:p>
        </w:tc>
        <w:tc>
          <w:tcPr>
            <w:tcW w:w="105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公司确定了有关的相关方包括：顾客/最 终消费者、员工、政府、外部供方、竞争对手、社会等；公司明确了相关方要求与期望、监测指标或项目、监测频率、监测部门等。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en-US" w:eastAsia="zh-CN"/>
              </w:rPr>
            </w:pPr>
            <w:r>
              <w:rPr>
                <w:rFonts w:hint="eastAsia" w:ascii="Times New Roman" w:hAnsi="宋体" w:eastAsia="宋体" w:cs="Times New Roman"/>
                <w:szCs w:val="21"/>
              </w:rPr>
              <w:t>对这些相关方监视和评审的方法有：上级文件、标准和规范的获取、设备器具检定、沟通等。</w:t>
            </w:r>
          </w:p>
        </w:tc>
        <w:tc>
          <w:tcPr>
            <w:tcW w:w="1029"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ascii="宋体" w:hAnsi="宋体" w:cs="Arial"/>
                <w:szCs w:val="21"/>
              </w:rPr>
            </w:pPr>
            <w:r>
              <w:rPr>
                <w:rFonts w:hint="eastAsia" w:ascii="宋体" w:hAnsi="宋体" w:cs="Arial"/>
                <w:szCs w:val="21"/>
              </w:rPr>
              <w:t>确定管理体系的范围</w:t>
            </w:r>
          </w:p>
          <w:p>
            <w:pPr>
              <w:rPr>
                <w:rFonts w:ascii="宋体" w:hAnsi="宋体" w:cs="Arial"/>
                <w:szCs w:val="21"/>
              </w:rPr>
            </w:pPr>
            <w:r>
              <w:rPr>
                <w:rFonts w:hint="eastAsia" w:ascii="宋体" w:hAnsi="宋体" w:cs="Arial"/>
                <w:szCs w:val="21"/>
              </w:rPr>
              <w:t>质量/环境管理体系及其过程</w:t>
            </w:r>
          </w:p>
          <w:p>
            <w:pPr>
              <w:rPr>
                <w:rFonts w:ascii="宋体" w:hAnsi="宋体" w:cs="Arial"/>
                <w:szCs w:val="21"/>
              </w:rPr>
            </w:pPr>
            <w:r>
              <w:rPr>
                <w:rFonts w:hint="eastAsia" w:ascii="宋体" w:hAnsi="宋体" w:cs="Arial"/>
                <w:szCs w:val="21"/>
              </w:rPr>
              <w:t>应对风险和机遇的措施</w:t>
            </w:r>
          </w:p>
          <w:p>
            <w:pPr>
              <w:adjustRightInd w:val="0"/>
              <w:snapToGrid w:val="0"/>
              <w:spacing w:line="360" w:lineRule="auto"/>
              <w:ind w:right="105" w:rightChars="50"/>
              <w:textAlignment w:val="baseline"/>
              <w:rPr>
                <w:rFonts w:ascii="宋体" w:hAnsi="宋体" w:cs="Arial"/>
                <w:szCs w:val="21"/>
              </w:rPr>
            </w:pPr>
            <w:r>
              <w:rPr>
                <w:rFonts w:hint="eastAsia" w:ascii="宋体" w:hAnsi="宋体" w:cs="Arial"/>
                <w:szCs w:val="21"/>
              </w:rPr>
              <w:t>变更的策划</w:t>
            </w:r>
          </w:p>
          <w:p>
            <w:pPr>
              <w:rPr>
                <w:rFonts w:ascii="Times New Roman" w:hAnsi="Times New Roman" w:eastAsia="宋体" w:cs="Times New Roman"/>
                <w:kern w:val="2"/>
                <w:sz w:val="21"/>
                <w:lang w:val="en-US" w:eastAsia="zh-CN" w:bidi="ar-SA"/>
              </w:rPr>
            </w:pPr>
          </w:p>
        </w:tc>
        <w:tc>
          <w:tcPr>
            <w:tcW w:w="960" w:type="dxa"/>
            <w:vAlign w:val="top"/>
          </w:tcPr>
          <w:p>
            <w:r>
              <w:rPr>
                <w:rFonts w:hint="eastAsia"/>
              </w:rPr>
              <w:t>Q</w:t>
            </w:r>
            <w:r>
              <w:t>E</w:t>
            </w:r>
            <w:r>
              <w:rPr>
                <w:rFonts w:hint="eastAsia"/>
              </w:rPr>
              <w:t>：4</w:t>
            </w:r>
            <w:r>
              <w:t>.3</w:t>
            </w:r>
          </w:p>
          <w:p>
            <w:r>
              <w:rPr>
                <w:rFonts w:hint="eastAsia"/>
              </w:rPr>
              <w:t>Q</w:t>
            </w:r>
            <w:r>
              <w:t>E</w:t>
            </w:r>
            <w:r>
              <w:rPr>
                <w:rFonts w:hint="eastAsia"/>
              </w:rPr>
              <w:t>：4</w:t>
            </w:r>
            <w:r>
              <w:t>.4</w:t>
            </w:r>
          </w:p>
          <w:p>
            <w:r>
              <w:rPr>
                <w:rFonts w:hint="eastAsia"/>
              </w:rPr>
              <w:t>Q</w:t>
            </w:r>
            <w:r>
              <w:t>E</w:t>
            </w:r>
            <w:r>
              <w:rPr>
                <w:rFonts w:hint="eastAsia"/>
              </w:rPr>
              <w:t>：6</w:t>
            </w:r>
            <w:r>
              <w:t>.1</w:t>
            </w:r>
          </w:p>
          <w:p>
            <w:pPr>
              <w:rPr>
                <w:rFonts w:ascii="Times New Roman" w:hAnsi="Times New Roman" w:eastAsia="宋体" w:cs="Times New Roman"/>
                <w:kern w:val="2"/>
                <w:sz w:val="21"/>
                <w:lang w:val="en-US" w:eastAsia="zh-CN" w:bidi="ar-SA"/>
              </w:rPr>
            </w:pPr>
            <w:r>
              <w:rPr>
                <w:rFonts w:hint="eastAsia"/>
              </w:rPr>
              <w:t>Q：</w:t>
            </w:r>
            <w:r>
              <w:rPr>
                <w:rFonts w:ascii="宋体" w:hAnsi="宋体" w:cs="Arial"/>
                <w:szCs w:val="21"/>
              </w:rPr>
              <w:t>6.3</w:t>
            </w:r>
          </w:p>
        </w:tc>
        <w:tc>
          <w:tcPr>
            <w:tcW w:w="105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基于对4.1和4.2的考虑，分析了公司目前存在的风险和机遇：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机遇：政策和传统文化的影响，对企业有较好的的发展机遇。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风险：原材料价格波动，产业政策的变化可能给公司带来发展的风险。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提供有《风险和机遇的应对控制程序》，对组织内外的风险和机遇进行了策划。介绍说，公司都识别了风险和机遇来源、风险和机遇内容、管理措施、责任部门、实时时间、评价措施等；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查见“风险和机遇应对措施”，基本合理；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重大环境因素：噪声、粉尘排放、固废、潜在火灾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通用措施——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制定目标、指标，编制运行控制文件，运行控制；一旦发生按相关应急预案执行。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噪声——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选用低噪声设备，合理布局，隔声减震，厂房隔音；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粉尘排放——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eastAsia="zh-CN"/>
              </w:rPr>
            </w:pPr>
            <w:r>
              <w:rPr>
                <w:rFonts w:hint="eastAsia" w:ascii="Times New Roman" w:hAnsi="宋体" w:eastAsia="宋体" w:cs="Times New Roman"/>
                <w:szCs w:val="21"/>
              </w:rPr>
              <w:t>除尘装置收集处理</w:t>
            </w:r>
            <w:r>
              <w:rPr>
                <w:rFonts w:hint="eastAsia" w:ascii="Times New Roman" w:hAnsi="宋体" w:eastAsia="宋体" w:cs="Times New Roman"/>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固废——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 xml:space="preserve">一般固废集中收集外售；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潜在火灾——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设备、电路定期检修、检查，电工持证上岗；配置消防器材、做好火灾预防措施，预案、演练、检查。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为应对相应风险和机遇，公司依据GB/T19001-2016、GB/T24001-2016、GB/T45001-2020标准的要求并结合本公司的具体情况，采取PDCA的过程方法，建立、实施、保持并持续改进环境、管理体系。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编制《管理手册》A/0版，管理体系于2022年01月20日发布实施；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编制程序文件27个，版本号：A/0，2022年01月20日实施；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编制有管理文件：开料(切割)作业指导书</w:t>
            </w:r>
            <w:r>
              <w:rPr>
                <w:rFonts w:hint="eastAsia" w:ascii="Times New Roman" w:hAnsi="宋体" w:eastAsia="宋体" w:cs="Times New Roman"/>
                <w:szCs w:val="21"/>
                <w:lang w:eastAsia="zh-CN"/>
              </w:rPr>
              <w:t>、</w:t>
            </w:r>
            <w:r>
              <w:rPr>
                <w:rFonts w:hint="eastAsia" w:ascii="Times New Roman" w:hAnsi="宋体" w:eastAsia="宋体" w:cs="Times New Roman"/>
                <w:szCs w:val="21"/>
              </w:rPr>
              <w:t>封边作业指导书</w:t>
            </w:r>
            <w:r>
              <w:rPr>
                <w:rFonts w:hint="eastAsia" w:ascii="Times New Roman" w:hAnsi="宋体" w:eastAsia="宋体" w:cs="Times New Roman"/>
                <w:szCs w:val="21"/>
                <w:lang w:eastAsia="zh-CN"/>
              </w:rPr>
              <w:t>、</w:t>
            </w:r>
            <w:r>
              <w:rPr>
                <w:rFonts w:hint="eastAsia" w:ascii="Times New Roman" w:hAnsi="宋体" w:eastAsia="宋体" w:cs="Times New Roman"/>
                <w:szCs w:val="21"/>
              </w:rPr>
              <w:t>排孔作业指导书</w:t>
            </w:r>
            <w:r>
              <w:rPr>
                <w:rFonts w:hint="eastAsia" w:ascii="Times New Roman" w:hAnsi="宋体" w:eastAsia="宋体" w:cs="Times New Roman"/>
                <w:szCs w:val="21"/>
                <w:lang w:eastAsia="zh-CN"/>
              </w:rPr>
              <w:t>、</w:t>
            </w:r>
            <w:r>
              <w:rPr>
                <w:rFonts w:hint="eastAsia" w:ascii="Times New Roman" w:hAnsi="宋体" w:eastAsia="宋体" w:cs="Times New Roman"/>
                <w:szCs w:val="21"/>
              </w:rPr>
              <w:t>包装作业指导书等；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建立有外来文件清单，收集法律法规和技术标准、规范等；中华人民共和国产品质量法、中华人民共和国安全生产法、中华人民共和国环境保护法、中华人民共和国消防法、木家具通用技术条件GB/T 3324-2017、木材含水率测定方法GB/T1931-2009、木家具质量检验及质量评定QB/T1951.1-2010；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产品生产工艺流程：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开料→封边→排孔→组装→包装→检验→成品入库</w:t>
            </w:r>
          </w:p>
          <w:p>
            <w:pPr>
              <w:keepNext w:val="0"/>
              <w:keepLines w:val="0"/>
              <w:pageBreakBefore w:val="0"/>
              <w:widowControl w:val="0"/>
              <w:tabs>
                <w:tab w:val="left" w:pos="6597"/>
              </w:tabs>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eastAsia="zh-CN"/>
              </w:rPr>
            </w:pPr>
            <w:r>
              <w:rPr>
                <w:rFonts w:hint="eastAsia" w:ascii="Times New Roman" w:hAnsi="宋体" w:eastAsia="宋体" w:cs="Times New Roman"/>
                <w:szCs w:val="21"/>
                <w:lang w:eastAsia="zh-CN"/>
              </w:rPr>
              <w:t>销售过程：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lang w:eastAsia="zh-CN"/>
              </w:rPr>
              <w:t>产品要求信息获取</w:t>
            </w:r>
            <w:r>
              <w:rPr>
                <w:rFonts w:hint="eastAsia" w:hAnsi="宋体" w:cs="Times New Roman"/>
                <w:szCs w:val="21"/>
                <w:lang w:eastAsia="zh-CN"/>
              </w:rPr>
              <w:t>——</w:t>
            </w:r>
            <w:r>
              <w:rPr>
                <w:rFonts w:hint="eastAsia" w:ascii="Times New Roman" w:hAnsi="宋体" w:eastAsia="宋体" w:cs="Times New Roman"/>
                <w:szCs w:val="21"/>
                <w:lang w:eastAsia="zh-CN"/>
              </w:rPr>
              <w:t>产品要求评审</w:t>
            </w:r>
            <w:r>
              <w:rPr>
                <w:rFonts w:hint="eastAsia" w:hAnsi="宋体" w:cs="Times New Roman"/>
                <w:szCs w:val="21"/>
                <w:lang w:eastAsia="zh-CN"/>
              </w:rPr>
              <w:t>——</w:t>
            </w:r>
            <w:r>
              <w:rPr>
                <w:rFonts w:hint="eastAsia" w:ascii="Times New Roman" w:hAnsi="宋体" w:eastAsia="宋体" w:cs="Times New Roman"/>
                <w:szCs w:val="21"/>
                <w:lang w:eastAsia="zh-CN"/>
              </w:rPr>
              <w:t>签订合同</w:t>
            </w:r>
            <w:r>
              <w:rPr>
                <w:rFonts w:hint="eastAsia" w:hAnsi="宋体" w:cs="Times New Roman"/>
                <w:szCs w:val="21"/>
                <w:lang w:eastAsia="zh-CN"/>
              </w:rPr>
              <w:t>——</w:t>
            </w:r>
            <w:r>
              <w:rPr>
                <w:rFonts w:hint="eastAsia" w:ascii="Times New Roman" w:hAnsi="宋体" w:eastAsia="宋体" w:cs="Times New Roman"/>
                <w:szCs w:val="21"/>
                <w:lang w:eastAsia="zh-CN"/>
              </w:rPr>
              <w:t>生产</w:t>
            </w:r>
            <w:r>
              <w:rPr>
                <w:rFonts w:hint="eastAsia" w:hAnsi="宋体" w:cs="Times New Roman"/>
                <w:szCs w:val="21"/>
                <w:lang w:eastAsia="zh-CN"/>
              </w:rPr>
              <w:t>——</w:t>
            </w:r>
            <w:r>
              <w:rPr>
                <w:rFonts w:hint="eastAsia" w:ascii="Times New Roman" w:hAnsi="宋体" w:eastAsia="宋体" w:cs="Times New Roman"/>
                <w:szCs w:val="21"/>
                <w:lang w:eastAsia="zh-CN"/>
              </w:rPr>
              <w:t>质检</w:t>
            </w:r>
            <w:r>
              <w:rPr>
                <w:rFonts w:hint="eastAsia" w:hAnsi="宋体" w:cs="Times New Roman"/>
                <w:szCs w:val="21"/>
                <w:lang w:eastAsia="zh-CN"/>
              </w:rPr>
              <w:t>——</w:t>
            </w:r>
            <w:r>
              <w:rPr>
                <w:rFonts w:hint="eastAsia" w:ascii="Times New Roman" w:hAnsi="宋体" w:eastAsia="宋体" w:cs="Times New Roman"/>
                <w:szCs w:val="21"/>
                <w:lang w:eastAsia="zh-CN"/>
              </w:rPr>
              <w:t>销售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管理体系覆盖范围：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Q：板式家具（办公家具、教学用家具、卧室家具）的设计、生产及销售服务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en-US" w:eastAsia="zh-CN"/>
              </w:rPr>
            </w:pPr>
            <w:r>
              <w:rPr>
                <w:rFonts w:hint="eastAsia" w:ascii="Times New Roman" w:hAnsi="宋体" w:eastAsia="宋体" w:cs="Times New Roman"/>
                <w:szCs w:val="21"/>
              </w:rPr>
              <w:t>E：板式家具（办公家具、教学用家具、卧室家具）的设计、生产及销售服务所涉及场所的相关环境管理活动经查，体系建立以来，未发生变更。</w:t>
            </w:r>
          </w:p>
        </w:tc>
        <w:tc>
          <w:tcPr>
            <w:tcW w:w="1029"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cs="Arial"/>
                <w:szCs w:val="21"/>
              </w:rPr>
            </w:pPr>
            <w:r>
              <w:rPr>
                <w:rFonts w:hint="eastAsia" w:ascii="宋体" w:hAnsi="宋体" w:cs="Arial"/>
                <w:szCs w:val="21"/>
              </w:rPr>
              <w:t>领导作用和承诺、</w:t>
            </w:r>
          </w:p>
          <w:p>
            <w:pPr>
              <w:rPr>
                <w:rFonts w:ascii="宋体" w:hAnsi="宋体" w:eastAsia="宋体" w:cs="Arial"/>
                <w:kern w:val="2"/>
                <w:sz w:val="21"/>
                <w:szCs w:val="21"/>
                <w:lang w:val="en-US" w:eastAsia="zh-CN" w:bidi="ar-SA"/>
              </w:rPr>
            </w:pPr>
            <w:r>
              <w:rPr>
                <w:rFonts w:hint="eastAsia" w:ascii="宋体" w:hAnsi="宋体" w:cs="Arial"/>
                <w:szCs w:val="21"/>
              </w:rPr>
              <w:t>组织的岗位、职责和权限</w:t>
            </w:r>
          </w:p>
        </w:tc>
        <w:tc>
          <w:tcPr>
            <w:tcW w:w="0" w:type="auto"/>
            <w:vAlign w:val="top"/>
          </w:tcPr>
          <w:p>
            <w:r>
              <w:rPr>
                <w:rFonts w:ascii="宋体" w:hAnsi="宋体" w:cs="Arial"/>
                <w:szCs w:val="21"/>
              </w:rPr>
              <w:t>QE</w:t>
            </w:r>
            <w:r>
              <w:rPr>
                <w:rFonts w:hint="eastAsia" w:ascii="宋体" w:hAnsi="宋体" w:cs="Arial"/>
                <w:szCs w:val="21"/>
              </w:rPr>
              <w:t>：5.1</w:t>
            </w:r>
            <w:r>
              <w:rPr>
                <w:rFonts w:hint="eastAsia"/>
              </w:rPr>
              <w:t xml:space="preserve"> </w:t>
            </w:r>
          </w:p>
          <w:p>
            <w:pPr>
              <w:rPr>
                <w:rFonts w:ascii="Times New Roman" w:hAnsi="Times New Roman" w:eastAsia="宋体" w:cs="Times New Roman"/>
                <w:kern w:val="2"/>
                <w:sz w:val="21"/>
                <w:lang w:val="en-US" w:eastAsia="zh-CN" w:bidi="ar-SA"/>
              </w:rPr>
            </w:pPr>
            <w:r>
              <w:rPr>
                <w:rFonts w:hint="eastAsia"/>
              </w:rPr>
              <w:t>Q</w:t>
            </w:r>
            <w:r>
              <w:t>E</w:t>
            </w:r>
            <w:r>
              <w:rPr>
                <w:rFonts w:hint="eastAsia"/>
              </w:rPr>
              <w:t>：5</w:t>
            </w:r>
            <w:r>
              <w:t>.3</w:t>
            </w:r>
          </w:p>
        </w:tc>
        <w:tc>
          <w:tcPr>
            <w:tcW w:w="105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总经理主持建立了质量、环境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de-DE"/>
              </w:rPr>
            </w:pPr>
            <w:r>
              <w:rPr>
                <w:rFonts w:hint="eastAsia" w:ascii="Times New Roman" w:hAnsi="宋体" w:eastAsia="宋体" w:cs="Times New Roman"/>
                <w:szCs w:val="21"/>
                <w:lang w:val="de-DE"/>
              </w:rPr>
              <w:t>公司设有</w:t>
            </w:r>
            <w:r>
              <w:rPr>
                <w:rFonts w:hint="eastAsia" w:ascii="Times New Roman" w:hAnsi="宋体" w:eastAsia="宋体" w:cs="Times New Roman"/>
                <w:szCs w:val="21"/>
                <w:lang w:val="de-DE" w:eastAsia="zh-CN"/>
              </w:rPr>
              <w:t>办公室、生产部</w:t>
            </w:r>
            <w:r>
              <w:rPr>
                <w:rFonts w:hint="eastAsia" w:ascii="Times New Roman" w:hAnsi="宋体" w:eastAsia="宋体" w:cs="Times New Roman"/>
                <w:szCs w:val="21"/>
                <w:lang w:val="de-DE"/>
              </w:rPr>
              <w:t>、业务部、</w:t>
            </w:r>
            <w:r>
              <w:rPr>
                <w:rFonts w:hint="eastAsia" w:ascii="Times New Roman" w:hAnsi="宋体" w:eastAsia="宋体" w:cs="Times New Roman"/>
                <w:szCs w:val="21"/>
                <w:lang w:val="de-DE" w:eastAsia="zh-CN"/>
              </w:rPr>
              <w:t>采购</w:t>
            </w:r>
            <w:r>
              <w:rPr>
                <w:rFonts w:hint="eastAsia" w:ascii="Times New Roman" w:hAnsi="宋体" w:eastAsia="宋体" w:cs="Times New Roman"/>
                <w:szCs w:val="21"/>
                <w:lang w:val="de-DE"/>
              </w:rPr>
              <w:t>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en-US" w:eastAsia="zh-CN"/>
              </w:rPr>
            </w:pPr>
            <w:r>
              <w:rPr>
                <w:rFonts w:hint="eastAsia" w:ascii="Times New Roman" w:hAnsi="宋体" w:eastAsia="宋体" w:cs="Times New Roman"/>
                <w:szCs w:val="21"/>
              </w:rPr>
              <w:t>明确了岗位能力要求和职责，沟通各部门的职责及各部门之间工作的联系。</w:t>
            </w:r>
          </w:p>
        </w:tc>
        <w:tc>
          <w:tcPr>
            <w:tcW w:w="102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cs="Arial"/>
                <w:szCs w:val="21"/>
              </w:rPr>
            </w:pPr>
            <w:r>
              <w:rPr>
                <w:rFonts w:hint="eastAsia" w:ascii="宋体" w:hAnsi="宋体" w:cs="Arial"/>
                <w:szCs w:val="21"/>
              </w:rPr>
              <w:t>质量/环境方针、</w:t>
            </w:r>
          </w:p>
          <w:p>
            <w:pPr>
              <w:rPr>
                <w:rFonts w:ascii="宋体" w:hAnsi="宋体" w:eastAsia="宋体" w:cs="Arial"/>
                <w:kern w:val="2"/>
                <w:sz w:val="21"/>
                <w:szCs w:val="21"/>
                <w:lang w:val="en-US" w:eastAsia="zh-CN" w:bidi="ar-SA"/>
              </w:rPr>
            </w:pPr>
            <w:r>
              <w:rPr>
                <w:rFonts w:hint="eastAsia" w:ascii="宋体" w:hAnsi="宋体" w:cs="Arial"/>
                <w:szCs w:val="21"/>
              </w:rPr>
              <w:t>质量/环境目标及其实现的策划</w:t>
            </w:r>
          </w:p>
        </w:tc>
        <w:tc>
          <w:tcPr>
            <w:tcW w:w="0" w:type="auto"/>
            <w:vAlign w:val="top"/>
          </w:tcPr>
          <w:p>
            <w:pPr>
              <w:rPr>
                <w:rFonts w:ascii="宋体" w:hAnsi="宋体" w:cs="Arial"/>
                <w:szCs w:val="21"/>
              </w:rPr>
            </w:pPr>
            <w:r>
              <w:rPr>
                <w:rFonts w:ascii="宋体" w:hAnsi="宋体" w:cs="Arial"/>
                <w:szCs w:val="21"/>
              </w:rPr>
              <w:t>QE</w:t>
            </w:r>
            <w:r>
              <w:rPr>
                <w:rFonts w:hint="eastAsia" w:ascii="宋体" w:hAnsi="宋体" w:cs="Arial"/>
                <w:szCs w:val="21"/>
              </w:rPr>
              <w:t>：5</w:t>
            </w:r>
            <w:r>
              <w:rPr>
                <w:rFonts w:ascii="宋体" w:hAnsi="宋体" w:cs="Arial"/>
                <w:szCs w:val="21"/>
              </w:rPr>
              <w:t>.2</w:t>
            </w:r>
          </w:p>
          <w:p>
            <w:pPr>
              <w:rPr>
                <w:rFonts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E</w:t>
            </w:r>
            <w:r>
              <w:rPr>
                <w:rFonts w:hint="eastAsia" w:ascii="宋体" w:hAnsi="宋体" w:cs="Arial"/>
                <w:szCs w:val="21"/>
              </w:rPr>
              <w:t>：6</w:t>
            </w:r>
            <w:r>
              <w:rPr>
                <w:rFonts w:ascii="宋体" w:hAnsi="宋体" w:cs="Arial"/>
                <w:szCs w:val="21"/>
              </w:rPr>
              <w:t>.2</w:t>
            </w:r>
          </w:p>
        </w:tc>
        <w:tc>
          <w:tcPr>
            <w:tcW w:w="105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公司建立的质量环境方针：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 xml:space="preserve">质量至上、持续创新、诚实守信、顾客至上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预防为主，降低风险；遵章守法，创造和谐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方针适宜于公司现状，在管理手册中明确，通过文件发放，使员工获知，适用时提供给相关方。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并以方针为框架，建立了公司管理目标：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成品一次交验合格率≥97%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顾客满意度≥95分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固废分类处置率100%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噪声\粉尘达标排放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火灾事故为0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提供了本公司的环境方案和控制措施。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de-DE" w:eastAsia="zh-CN"/>
              </w:rPr>
            </w:pPr>
            <w:r>
              <w:rPr>
                <w:rFonts w:hint="eastAsia" w:ascii="Times New Roman" w:hAnsi="宋体" w:eastAsia="宋体" w:cs="Times New Roman"/>
                <w:szCs w:val="21"/>
              </w:rPr>
              <w:t>保留“目标分解考核表”，显示对管理目标进行了分解，2022年1-</w:t>
            </w:r>
            <w:r>
              <w:rPr>
                <w:rFonts w:hint="eastAsia" w:ascii="Times New Roman" w:hAnsi="宋体" w:eastAsia="宋体" w:cs="Times New Roman"/>
                <w:szCs w:val="21"/>
                <w:lang w:val="en-US" w:eastAsia="zh-CN"/>
              </w:rPr>
              <w:t>6</w:t>
            </w:r>
            <w:r>
              <w:rPr>
                <w:rFonts w:hint="eastAsia" w:ascii="Times New Roman" w:hAnsi="宋体" w:eastAsia="宋体" w:cs="Times New Roman"/>
                <w:szCs w:val="21"/>
              </w:rPr>
              <w:t>月所有目标均已完成。</w:t>
            </w:r>
          </w:p>
        </w:tc>
        <w:tc>
          <w:tcPr>
            <w:tcW w:w="102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kern w:val="2"/>
                <w:sz w:val="21"/>
                <w:szCs w:val="21"/>
                <w:lang w:val="en-US" w:eastAsia="zh-CN" w:bidi="ar-SA"/>
              </w:rPr>
            </w:pPr>
            <w:r>
              <w:rPr>
                <w:rFonts w:hint="eastAsia" w:ascii="宋体" w:hAnsi="宋体" w:cs="Arial"/>
                <w:szCs w:val="21"/>
              </w:rPr>
              <w:t>资源总则</w:t>
            </w:r>
          </w:p>
        </w:tc>
        <w:tc>
          <w:tcPr>
            <w:tcW w:w="0" w:type="auto"/>
            <w:vAlign w:val="top"/>
          </w:tcPr>
          <w:p>
            <w:pPr>
              <w:rPr>
                <w:rFonts w:ascii="宋体" w:hAnsi="宋体" w:eastAsia="宋体" w:cs="Arial"/>
                <w:kern w:val="2"/>
                <w:sz w:val="21"/>
                <w:szCs w:val="21"/>
                <w:lang w:val="en-US" w:eastAsia="zh-CN" w:bidi="ar-SA"/>
              </w:rPr>
            </w:pPr>
            <w:r>
              <w:rPr>
                <w:rFonts w:hint="eastAsia" w:ascii="宋体" w:hAnsi="宋体" w:cs="Arial"/>
                <w:szCs w:val="21"/>
                <w:lang w:val="en-US" w:eastAsia="zh-CN"/>
              </w:rPr>
              <w:t>Q:</w:t>
            </w:r>
            <w:r>
              <w:rPr>
                <w:rFonts w:hint="eastAsia" w:ascii="宋体" w:hAnsi="宋体" w:cs="Arial"/>
                <w:szCs w:val="21"/>
              </w:rPr>
              <w:t>7.1.1E</w:t>
            </w:r>
            <w:r>
              <w:rPr>
                <w:rFonts w:hint="eastAsia" w:ascii="宋体" w:hAnsi="宋体" w:cs="Arial"/>
                <w:szCs w:val="21"/>
                <w:lang w:val="en-US" w:eastAsia="zh-CN"/>
              </w:rPr>
              <w:t>:</w:t>
            </w:r>
            <w:r>
              <w:rPr>
                <w:rFonts w:hint="eastAsia" w:ascii="宋体" w:hAnsi="宋体" w:cs="Arial"/>
                <w:szCs w:val="21"/>
              </w:rPr>
              <w:t>7.1</w:t>
            </w:r>
          </w:p>
        </w:tc>
        <w:tc>
          <w:tcPr>
            <w:tcW w:w="105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de-DE"/>
              </w:rPr>
            </w:pPr>
            <w:r>
              <w:rPr>
                <w:rFonts w:hint="eastAsia" w:ascii="Times New Roman" w:hAnsi="宋体" w:eastAsia="宋体" w:cs="Times New Roman"/>
                <w:szCs w:val="21"/>
                <w:lang w:val="de-DE"/>
              </w:rPr>
              <w:t>江西凯鑫家具有限公司成立于2010年04月27日，注册资金</w:t>
            </w:r>
            <w:r>
              <w:rPr>
                <w:rFonts w:hint="eastAsia" w:ascii="Times New Roman" w:hAnsi="宋体" w:eastAsia="宋体" w:cs="Times New Roman"/>
                <w:szCs w:val="21"/>
                <w:lang w:val="en-US" w:eastAsia="zh-CN"/>
              </w:rPr>
              <w:t>8000</w:t>
            </w:r>
            <w:r>
              <w:rPr>
                <w:rFonts w:hint="eastAsia" w:ascii="Times New Roman" w:hAnsi="宋体" w:eastAsia="宋体" w:cs="Times New Roman"/>
                <w:szCs w:val="21"/>
                <w:lang w:val="de-DE"/>
              </w:rPr>
              <w:t xml:space="preserve">万元。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de-DE"/>
              </w:rPr>
            </w:pPr>
            <w:r>
              <w:rPr>
                <w:rFonts w:hint="eastAsia" w:ascii="Times New Roman" w:hAnsi="宋体" w:eastAsia="宋体" w:cs="Times New Roman"/>
                <w:szCs w:val="21"/>
                <w:lang w:val="de-DE"/>
              </w:rPr>
              <w:t>主要设备有：</w:t>
            </w:r>
            <w:r>
              <w:rPr>
                <w:rFonts w:hint="eastAsia" w:ascii="Times New Roman" w:hAnsi="宋体" w:eastAsia="宋体" w:cs="Times New Roman"/>
                <w:szCs w:val="21"/>
              </w:rPr>
              <w:t>激光切割机、精密推台锯、排钻、封边机、曲线封边机等；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主要环保设备：消防栓、灭火器、垃圾桶、除尘装置等；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企业主要检测设备：游标卡尺、钢卷尺</w:t>
            </w:r>
            <w:r>
              <w:rPr>
                <w:rFonts w:hint="eastAsia" w:ascii="Times New Roman" w:hAnsi="宋体" w:eastAsia="宋体" w:cs="Times New Roman"/>
                <w:szCs w:val="21"/>
                <w:lang w:eastAsia="zh-CN"/>
              </w:rPr>
              <w:t>；</w:t>
            </w:r>
            <w:bookmarkStart w:id="3" w:name="_GoBack"/>
            <w:bookmarkEnd w:id="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现有员工人数2</w:t>
            </w:r>
            <w:r>
              <w:rPr>
                <w:rFonts w:hint="eastAsia" w:ascii="Times New Roman" w:hAnsi="宋体" w:eastAsia="宋体" w:cs="Times New Roman"/>
                <w:szCs w:val="21"/>
                <w:lang w:val="en-US" w:eastAsia="zh-CN"/>
              </w:rPr>
              <w:t>4</w:t>
            </w:r>
            <w:r>
              <w:rPr>
                <w:rFonts w:hint="eastAsia" w:ascii="Times New Roman" w:hAnsi="宋体" w:eastAsia="宋体" w:cs="Times New Roman"/>
                <w:szCs w:val="21"/>
              </w:rPr>
              <w:t>人，</w:t>
            </w:r>
            <w:r>
              <w:rPr>
                <w:rFonts w:hint="eastAsia" w:ascii="Times New Roman" w:hAnsi="宋体" w:eastAsia="宋体" w:cs="Times New Roman"/>
                <w:szCs w:val="21"/>
                <w:lang w:val="en-US" w:eastAsia="zh-CN"/>
              </w:rPr>
              <w:t>9</w:t>
            </w:r>
            <w:r>
              <w:rPr>
                <w:rFonts w:hint="eastAsia" w:ascii="Times New Roman" w:hAnsi="宋体" w:eastAsia="宋体" w:cs="Times New Roman"/>
                <w:szCs w:val="21"/>
              </w:rPr>
              <w:t>名管理人员，15名生产操作人员。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lang w:eastAsia="zh-CN"/>
              </w:rPr>
              <w:t>公司</w:t>
            </w:r>
            <w:r>
              <w:rPr>
                <w:rFonts w:hint="eastAsia" w:ascii="Times New Roman" w:hAnsi="宋体" w:eastAsia="宋体" w:cs="Times New Roman"/>
                <w:szCs w:val="21"/>
              </w:rPr>
              <w:t>面积约</w:t>
            </w:r>
            <w:r>
              <w:rPr>
                <w:rFonts w:hint="eastAsia" w:ascii="Times New Roman" w:hAnsi="宋体" w:eastAsia="宋体" w:cs="Times New Roman"/>
                <w:szCs w:val="21"/>
                <w:lang w:val="en-US" w:eastAsia="zh-CN"/>
              </w:rPr>
              <w:t>3600</w:t>
            </w:r>
            <w:r>
              <w:rPr>
                <w:rFonts w:hint="eastAsia" w:ascii="Times New Roman" w:hAnsi="宋体" w:eastAsia="宋体" w:cs="Times New Roman"/>
                <w:szCs w:val="21"/>
              </w:rPr>
              <w:t>平方米</w:t>
            </w:r>
            <w:r>
              <w:rPr>
                <w:rFonts w:hint="eastAsia" w:ascii="Times New Roman" w:hAnsi="宋体" w:eastAsia="宋体" w:cs="Times New Roman"/>
                <w:szCs w:val="21"/>
                <w:lang w:eastAsia="zh-CN"/>
              </w:rPr>
              <w:t>，</w:t>
            </w:r>
            <w:r>
              <w:rPr>
                <w:rFonts w:hint="eastAsia" w:ascii="Times New Roman" w:hAnsi="宋体" w:eastAsia="宋体" w:cs="Times New Roman"/>
                <w:szCs w:val="21"/>
              </w:rPr>
              <w:t>有1个生产车间，车间布局基本合理，空间较宽敞，光线明亮，下料、</w:t>
            </w:r>
            <w:r>
              <w:rPr>
                <w:rFonts w:hint="eastAsia" w:ascii="Times New Roman" w:hAnsi="宋体" w:eastAsia="宋体" w:cs="Times New Roman"/>
                <w:szCs w:val="21"/>
                <w:lang w:eastAsia="zh-CN"/>
              </w:rPr>
              <w:t>打孔</w:t>
            </w:r>
            <w:r>
              <w:rPr>
                <w:rFonts w:hint="eastAsia" w:ascii="Times New Roman" w:hAnsi="宋体" w:eastAsia="宋体" w:cs="Times New Roman"/>
                <w:szCs w:val="21"/>
              </w:rPr>
              <w:t>等工序地面有碎屑料</w:t>
            </w:r>
            <w:r>
              <w:rPr>
                <w:rFonts w:hint="eastAsia" w:ascii="Times New Roman" w:hAnsi="宋体" w:eastAsia="宋体" w:cs="Times New Roman"/>
                <w:szCs w:val="21"/>
                <w:lang w:eastAsia="zh-CN"/>
              </w:rPr>
              <w:t>和粉尘</w:t>
            </w:r>
            <w:r>
              <w:rPr>
                <w:rFonts w:hint="eastAsia" w:ascii="Times New Roman" w:hAnsi="宋体" w:eastAsia="宋体" w:cs="Times New Roman"/>
                <w:szCs w:val="21"/>
              </w:rPr>
              <w:t>，介绍</w:t>
            </w:r>
            <w:r>
              <w:rPr>
                <w:rFonts w:hint="eastAsia" w:ascii="Times New Roman" w:hAnsi="宋体" w:eastAsia="宋体" w:cs="Times New Roman"/>
                <w:szCs w:val="21"/>
                <w:lang w:eastAsia="zh-CN"/>
              </w:rPr>
              <w:t>说每天</w:t>
            </w:r>
            <w:r>
              <w:rPr>
                <w:rFonts w:hint="eastAsia" w:ascii="Times New Roman" w:hAnsi="宋体" w:eastAsia="宋体" w:cs="Times New Roman"/>
                <w:szCs w:val="21"/>
              </w:rPr>
              <w:t>清扫。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生产区域原料存放区、生产加工半成品、产品等放置整齐，现场巡视发现现场配备</w:t>
            </w:r>
            <w:r>
              <w:rPr>
                <w:rFonts w:hint="eastAsia" w:ascii="Times New Roman" w:hAnsi="宋体" w:eastAsia="宋体" w:cs="Times New Roman"/>
                <w:szCs w:val="21"/>
                <w:lang w:eastAsia="zh-CN"/>
              </w:rPr>
              <w:t>了</w:t>
            </w:r>
            <w:r>
              <w:rPr>
                <w:rFonts w:hint="eastAsia" w:ascii="Times New Roman" w:hAnsi="宋体" w:eastAsia="宋体" w:cs="Times New Roman"/>
                <w:szCs w:val="21"/>
              </w:rPr>
              <w:t>灭火器、安全通道畅通，现场观察到操作工按章作业，生产秩序</w:t>
            </w:r>
            <w:r>
              <w:rPr>
                <w:rFonts w:hint="eastAsia" w:ascii="Times New Roman" w:hAnsi="宋体" w:eastAsia="宋体" w:cs="Times New Roman"/>
                <w:szCs w:val="21"/>
                <w:lang w:eastAsia="zh-CN"/>
              </w:rPr>
              <w:t>较</w:t>
            </w:r>
            <w:r>
              <w:rPr>
                <w:rFonts w:hint="eastAsia" w:ascii="Times New Roman" w:hAnsi="宋体" w:eastAsia="宋体" w:cs="Times New Roman"/>
                <w:szCs w:val="21"/>
              </w:rPr>
              <w:t>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办公面积适宜，干净整洁，照明、通风良好；配置有空调，温度适宜；有少量绿植；禁止吸烟、无乱拉乱接电线、无超额电器使用；办公环境安静，无明显噪声。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查看办公及车间环保、消防安全设施等运行状态良好，配备了灭火器、消防安全设备、防尘布袋、安全劳保用品等，能保证企业正常生产与办公。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确认企业目前人力资源、基础设施、业务管理人员、财力、信息等资源均能保证。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en-US" w:eastAsia="zh-CN"/>
              </w:rPr>
            </w:pPr>
            <w:r>
              <w:rPr>
                <w:rFonts w:hint="eastAsia" w:ascii="Times New Roman" w:hAnsi="宋体" w:eastAsia="宋体" w:cs="Times New Roman"/>
                <w:szCs w:val="21"/>
              </w:rPr>
              <w:t>公司财务能保证质量、环境、工作的开展，确保关资金及时投入。</w:t>
            </w:r>
          </w:p>
        </w:tc>
        <w:tc>
          <w:tcPr>
            <w:tcW w:w="102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kern w:val="2"/>
                <w:sz w:val="21"/>
                <w:szCs w:val="21"/>
                <w:lang w:val="en-US" w:eastAsia="zh-CN" w:bidi="ar-SA"/>
              </w:rPr>
            </w:pPr>
            <w:r>
              <w:rPr>
                <w:rFonts w:hint="eastAsia" w:ascii="宋体" w:hAnsi="宋体" w:cs="Arial"/>
                <w:szCs w:val="21"/>
              </w:rPr>
              <w:t>沟通/信息交流</w:t>
            </w:r>
          </w:p>
        </w:tc>
        <w:tc>
          <w:tcPr>
            <w:tcW w:w="0" w:type="auto"/>
            <w:vAlign w:val="top"/>
          </w:tcPr>
          <w:p>
            <w:pPr>
              <w:rPr>
                <w:rFonts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E</w:t>
            </w:r>
            <w:r>
              <w:rPr>
                <w:rFonts w:hint="eastAsia" w:ascii="宋体" w:hAnsi="宋体" w:cs="Arial"/>
                <w:szCs w:val="21"/>
              </w:rPr>
              <w:t>：7</w:t>
            </w:r>
            <w:r>
              <w:rPr>
                <w:rFonts w:ascii="宋体" w:hAnsi="宋体" w:cs="Arial"/>
                <w:szCs w:val="21"/>
              </w:rPr>
              <w:t>.4</w:t>
            </w:r>
          </w:p>
        </w:tc>
        <w:tc>
          <w:tcPr>
            <w:tcW w:w="105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编制了《信息交流、协商和沟通控制程序》，确了内部外部信息交流的内容及职责，包含重要环境因素、管理方针、应急控制等规定，基本符合。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对于质量、环保、安全方面的信息主要利用会议、培训、座谈、电话、网络、收文等方式进行内外部沟通和协商。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经交流，体系运行中，通过文件、口头、电话、办公会议、现场协调等方式进行内部沟通，通过宣贯培训让员工充分认识到质量、环境体系的要求。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质量、环境、方面的要求进行沟通；同时将本公司的质量、环境及方面的要求以及法律法规通告相关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内部、外部沟通协商的机制已建立运行，有效。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en-US" w:eastAsia="zh-CN"/>
              </w:rPr>
            </w:pPr>
            <w:r>
              <w:rPr>
                <w:rFonts w:hint="eastAsia" w:ascii="Times New Roman" w:hAnsi="宋体" w:eastAsia="宋体" w:cs="Times New Roman"/>
                <w:szCs w:val="21"/>
              </w:rPr>
              <w:t>现场查见会议记录、通知通报、培训记录、文件签收等组织内部培训方式相关记录。</w:t>
            </w:r>
          </w:p>
        </w:tc>
        <w:tc>
          <w:tcPr>
            <w:tcW w:w="102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kern w:val="2"/>
                <w:sz w:val="21"/>
                <w:szCs w:val="21"/>
                <w:lang w:val="en-US" w:eastAsia="zh-CN" w:bidi="ar-SA"/>
              </w:rPr>
            </w:pPr>
            <w:r>
              <w:rPr>
                <w:rFonts w:hint="eastAsia" w:ascii="宋体" w:hAnsi="宋体" w:cs="Arial"/>
                <w:szCs w:val="21"/>
              </w:rPr>
              <w:t>管理评审</w:t>
            </w:r>
          </w:p>
        </w:tc>
        <w:tc>
          <w:tcPr>
            <w:tcW w:w="0" w:type="auto"/>
            <w:vAlign w:val="top"/>
          </w:tcPr>
          <w:p>
            <w:pPr>
              <w:rPr>
                <w:rFonts w:ascii="宋体" w:hAnsi="宋体" w:eastAsia="宋体" w:cs="Arial"/>
                <w:kern w:val="2"/>
                <w:sz w:val="21"/>
                <w:szCs w:val="21"/>
                <w:lang w:val="en-US" w:eastAsia="zh-CN" w:bidi="ar-SA"/>
              </w:rPr>
            </w:pPr>
            <w:r>
              <w:rPr>
                <w:rFonts w:ascii="宋体" w:hAnsi="宋体" w:cs="Arial"/>
                <w:szCs w:val="21"/>
              </w:rPr>
              <w:t>Q</w:t>
            </w:r>
            <w:r>
              <w:rPr>
                <w:rFonts w:hint="eastAsia" w:ascii="宋体" w:hAnsi="宋体" w:cs="Arial"/>
                <w:szCs w:val="21"/>
              </w:rPr>
              <w:t>E：</w:t>
            </w:r>
            <w:r>
              <w:rPr>
                <w:rFonts w:ascii="宋体" w:hAnsi="宋体" w:cs="Arial"/>
                <w:szCs w:val="21"/>
              </w:rPr>
              <w:t>9</w:t>
            </w:r>
            <w:r>
              <w:rPr>
                <w:rFonts w:hint="eastAsia" w:ascii="宋体" w:hAnsi="宋体" w:cs="Arial"/>
                <w:szCs w:val="21"/>
              </w:rPr>
              <w:t>.</w:t>
            </w:r>
            <w:r>
              <w:rPr>
                <w:rFonts w:ascii="宋体" w:hAnsi="宋体" w:cs="Arial"/>
                <w:szCs w:val="21"/>
              </w:rPr>
              <w:t>3</w:t>
            </w:r>
          </w:p>
        </w:tc>
        <w:tc>
          <w:tcPr>
            <w:tcW w:w="105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查见企业于2022年8月5日召开了管理评审会议，由雷新发总经理主持；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保留管理评审计划、管理评审报告、管理评审会议纪要等；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管理评审结论：管理体系的建立和运行是充分的、适宜的、有效的。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改进措施要求：进一步组织对GB/T19001-2016/GB/T24001-2016/GB/T45001-2020标准、《管理手册》、《程序文件》的学习和培训等</w:t>
            </w:r>
            <w:r>
              <w:rPr>
                <w:rFonts w:hint="eastAsia" w:ascii="Times New Roman" w:hAnsi="宋体" w:eastAsia="宋体" w:cs="Times New Roman"/>
                <w:szCs w:val="21"/>
                <w:lang w:val="en-US" w:eastAsia="zh-CN"/>
              </w:rPr>
              <w:t>4项</w:t>
            </w:r>
            <w:r>
              <w:rPr>
                <w:rFonts w:hint="eastAsia" w:ascii="Times New Roman" w:hAnsi="宋体" w:eastAsia="宋体" w:cs="Times New Roman"/>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en-US" w:eastAsia="zh-CN"/>
              </w:rPr>
            </w:pPr>
            <w:r>
              <w:rPr>
                <w:rFonts w:hint="eastAsia" w:ascii="Times New Roman" w:hAnsi="宋体" w:eastAsia="宋体" w:cs="Times New Roman"/>
                <w:szCs w:val="21"/>
              </w:rPr>
              <w:t>制定有“管理评审改进措施计划”。</w:t>
            </w:r>
          </w:p>
        </w:tc>
        <w:tc>
          <w:tcPr>
            <w:tcW w:w="102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spacing w:line="360" w:lineRule="auto"/>
              <w:rPr>
                <w:rFonts w:ascii="宋体" w:hAnsi="宋体" w:cs="Arial"/>
                <w:spacing w:val="-6"/>
                <w:szCs w:val="21"/>
              </w:rPr>
            </w:pPr>
            <w:r>
              <w:rPr>
                <w:rFonts w:hint="eastAsia" w:ascii="宋体" w:hAnsi="宋体" w:cs="Arial"/>
                <w:spacing w:val="-6"/>
                <w:szCs w:val="21"/>
              </w:rPr>
              <w:t>改进</w:t>
            </w:r>
          </w:p>
          <w:p>
            <w:pPr>
              <w:rPr>
                <w:rFonts w:ascii="宋体" w:hAnsi="宋体" w:eastAsia="宋体" w:cs="Arial"/>
                <w:kern w:val="2"/>
                <w:sz w:val="21"/>
                <w:szCs w:val="21"/>
                <w:lang w:val="en-US" w:eastAsia="zh-CN" w:bidi="ar-SA"/>
              </w:rPr>
            </w:pPr>
            <w:r>
              <w:rPr>
                <w:rFonts w:hint="eastAsia" w:ascii="宋体" w:hAnsi="宋体" w:cs="Arial"/>
                <w:spacing w:val="-6"/>
                <w:szCs w:val="21"/>
              </w:rPr>
              <w:t>持续改进</w:t>
            </w:r>
          </w:p>
        </w:tc>
        <w:tc>
          <w:tcPr>
            <w:tcW w:w="0" w:type="auto"/>
            <w:vAlign w:val="top"/>
          </w:tcPr>
          <w:p>
            <w:pPr>
              <w:spacing w:line="360" w:lineRule="auto"/>
              <w:rPr>
                <w:rFonts w:ascii="宋体" w:hAnsi="宋体" w:cs="Arial"/>
                <w:spacing w:val="-6"/>
                <w:szCs w:val="21"/>
              </w:rPr>
            </w:pPr>
            <w:r>
              <w:rPr>
                <w:rFonts w:hint="eastAsia" w:ascii="宋体" w:hAnsi="宋体" w:cs="Arial"/>
                <w:spacing w:val="-6"/>
                <w:szCs w:val="21"/>
              </w:rPr>
              <w:t>QE:10.1</w:t>
            </w:r>
          </w:p>
          <w:p>
            <w:pPr>
              <w:rPr>
                <w:rFonts w:ascii="宋体" w:hAnsi="宋体" w:eastAsia="宋体" w:cs="Arial"/>
                <w:kern w:val="2"/>
                <w:sz w:val="21"/>
                <w:szCs w:val="21"/>
                <w:lang w:val="en-US" w:eastAsia="zh-CN" w:bidi="ar-SA"/>
              </w:rPr>
            </w:pPr>
            <w:r>
              <w:rPr>
                <w:rFonts w:ascii="宋体" w:hAnsi="宋体" w:cs="Arial"/>
                <w:spacing w:val="-6"/>
                <w:szCs w:val="21"/>
              </w:rPr>
              <w:t>QE</w:t>
            </w:r>
            <w:r>
              <w:rPr>
                <w:rFonts w:hint="eastAsia" w:ascii="宋体" w:hAnsi="宋体" w:cs="Arial"/>
                <w:spacing w:val="-6"/>
                <w:szCs w:val="21"/>
              </w:rPr>
              <w:t>：10.3</w:t>
            </w:r>
          </w:p>
        </w:tc>
        <w:tc>
          <w:tcPr>
            <w:tcW w:w="105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en-US" w:eastAsia="zh-CN"/>
              </w:rPr>
            </w:pPr>
            <w:r>
              <w:rPr>
                <w:rFonts w:hint="eastAsia" w:ascii="Times New Roman" w:hAnsi="宋体" w:eastAsia="宋体" w:cs="Times New Roman"/>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102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spacing w:line="240" w:lineRule="auto"/>
              <w:rPr>
                <w:rFonts w:ascii="宋体" w:hAnsi="宋体" w:cs="Arial"/>
                <w:spacing w:val="-6"/>
                <w:szCs w:val="21"/>
              </w:rPr>
            </w:pPr>
            <w:r>
              <w:rPr>
                <w:rFonts w:hint="eastAsia" w:ascii="宋体" w:hAnsi="宋体" w:cs="Arial"/>
                <w:spacing w:val="-6"/>
                <w:szCs w:val="21"/>
              </w:rPr>
              <w:t>国家/地方监督抽查情况</w:t>
            </w:r>
          </w:p>
          <w:p>
            <w:pPr>
              <w:spacing w:line="240" w:lineRule="auto"/>
              <w:rPr>
                <w:rFonts w:ascii="宋体" w:hAnsi="宋体" w:eastAsia="宋体" w:cs="Arial"/>
                <w:spacing w:val="-6"/>
                <w:kern w:val="2"/>
                <w:sz w:val="21"/>
                <w:szCs w:val="21"/>
                <w:lang w:val="en-US" w:eastAsia="zh-CN" w:bidi="ar-SA"/>
              </w:rPr>
            </w:pPr>
            <w:r>
              <w:rPr>
                <w:rFonts w:hint="eastAsia" w:ascii="宋体" w:hAnsi="宋体" w:cs="Arial"/>
                <w:spacing w:val="-6"/>
                <w:szCs w:val="21"/>
              </w:rPr>
              <w:t>顾客满意、相关方投诉及处理情况</w:t>
            </w:r>
          </w:p>
        </w:tc>
        <w:tc>
          <w:tcPr>
            <w:tcW w:w="0" w:type="auto"/>
            <w:vAlign w:val="top"/>
          </w:tcPr>
          <w:p>
            <w:pPr>
              <w:spacing w:line="360" w:lineRule="auto"/>
              <w:rPr>
                <w:rFonts w:ascii="宋体" w:hAnsi="宋体" w:eastAsia="宋体" w:cs="Arial"/>
                <w:spacing w:val="-6"/>
                <w:kern w:val="2"/>
                <w:sz w:val="21"/>
                <w:szCs w:val="21"/>
                <w:lang w:val="en-US" w:eastAsia="zh-CN" w:bidi="ar-SA"/>
              </w:rPr>
            </w:pPr>
          </w:p>
        </w:tc>
        <w:tc>
          <w:tcPr>
            <w:tcW w:w="105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自公司成立以来，未受到上级主管部门有关质量、环境问题的行政处罚。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监察发现的一般问题及时进行整改；未发生相关方的投诉。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rPr>
            </w:pPr>
            <w:r>
              <w:rPr>
                <w:rFonts w:hint="eastAsia" w:ascii="Times New Roman" w:hAnsi="宋体" w:eastAsia="宋体" w:cs="Times New Roman"/>
                <w:szCs w:val="21"/>
              </w:rPr>
              <w:t>暂时没有国家/地方抽查情况。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en-US" w:eastAsia="zh-CN"/>
              </w:rPr>
            </w:pPr>
            <w:r>
              <w:rPr>
                <w:rFonts w:hint="eastAsia" w:ascii="Times New Roman" w:hAnsi="宋体" w:eastAsia="宋体" w:cs="Times New Roman"/>
                <w:szCs w:val="21"/>
              </w:rPr>
              <w:t>目前没有相关行政主管部门的检查处罚，在审核现场也未发现抽查、相关方投诉等情况。</w:t>
            </w:r>
          </w:p>
        </w:tc>
        <w:tc>
          <w:tcPr>
            <w:tcW w:w="1029"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spacing w:line="240" w:lineRule="auto"/>
              <w:rPr>
                <w:rFonts w:ascii="宋体" w:hAnsi="宋体" w:eastAsia="宋体" w:cs="Arial"/>
                <w:kern w:val="2"/>
                <w:sz w:val="21"/>
                <w:szCs w:val="21"/>
                <w:u w:val="single"/>
                <w:lang w:val="en-US" w:eastAsia="zh-CN" w:bidi="ar-SA"/>
              </w:rPr>
            </w:pPr>
            <w:r>
              <w:rPr>
                <w:rFonts w:hint="eastAsia" w:ascii="宋体" w:hAnsi="宋体" w:cs="Arial"/>
                <w:spacing w:val="-6"/>
                <w:szCs w:val="21"/>
              </w:rPr>
              <w:t>一阶段审核问题验证，验证企业相关资质证明的有效性</w:t>
            </w:r>
          </w:p>
        </w:tc>
        <w:tc>
          <w:tcPr>
            <w:tcW w:w="0" w:type="auto"/>
            <w:vAlign w:val="top"/>
          </w:tcPr>
          <w:p>
            <w:pPr>
              <w:spacing w:line="360" w:lineRule="auto"/>
              <w:rPr>
                <w:rFonts w:ascii="宋体" w:hAnsi="宋体" w:eastAsia="宋体" w:cs="Arial"/>
                <w:spacing w:val="-6"/>
                <w:kern w:val="2"/>
                <w:sz w:val="21"/>
                <w:szCs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eastAsia="zh-CN"/>
              </w:rPr>
            </w:pPr>
            <w:r>
              <w:rPr>
                <w:rFonts w:hint="eastAsia" w:ascii="Times New Roman" w:hAnsi="宋体" w:eastAsia="宋体" w:cs="Times New Roman"/>
                <w:szCs w:val="21"/>
              </w:rPr>
              <w:t>一阶段审核时</w:t>
            </w:r>
            <w:r>
              <w:rPr>
                <w:rFonts w:hint="eastAsia" w:ascii="Times New Roman" w:hAnsi="宋体" w:eastAsia="宋体" w:cs="Times New Roman"/>
                <w:szCs w:val="21"/>
                <w:lang w:eastAsia="zh-CN"/>
              </w:rPr>
              <w:t>未</w:t>
            </w:r>
            <w:r>
              <w:rPr>
                <w:rFonts w:hint="eastAsia" w:ascii="Times New Roman" w:hAnsi="宋体" w:eastAsia="宋体" w:cs="Times New Roman"/>
                <w:szCs w:val="21"/>
              </w:rPr>
              <w:t>发现问题</w:t>
            </w:r>
            <w:r>
              <w:rPr>
                <w:rFonts w:hint="eastAsia" w:ascii="Times New Roman" w:hAnsi="宋体" w:eastAsia="宋体" w:cs="Times New Roman"/>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szCs w:val="21"/>
                <w:lang w:val="en-US" w:eastAsia="zh-CN"/>
              </w:rPr>
            </w:pPr>
            <w:r>
              <w:rPr>
                <w:rFonts w:hint="eastAsia" w:ascii="Times New Roman" w:hAnsi="宋体" w:eastAsia="宋体" w:cs="Times New Roman"/>
                <w:szCs w:val="21"/>
              </w:rPr>
              <w:t>经查验营业执照有效。信用平台查询，无不良信息。</w:t>
            </w:r>
          </w:p>
        </w:tc>
        <w:tc>
          <w:tcPr>
            <w:tcW w:w="0" w:type="auto"/>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Internatinal Standard united Certificatin C.,Ltd.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017332FF"/>
    <w:rsid w:val="5CAA1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ind w:firstLine="720" w:firstLine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3693</Words>
  <Characters>3990</Characters>
  <Lines>1</Lines>
  <Paragraphs>1</Paragraphs>
  <TotalTime>2</TotalTime>
  <ScaleCrop>false</ScaleCrop>
  <LinksUpToDate>false</LinksUpToDate>
  <CharactersWithSpaces>4027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2022-09-20T08:27:25Z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9407251378D348EDA4CE35E6C901DAB0</vt:lpwstr>
  </property>
  <property fmtid="{D5CDD505-2E9C-101B-9397-08002B2CF9AE}" pid="3" name="KSOProductBuildVer">
    <vt:lpwstr>2052-11.1.0.12358</vt:lpwstr>
  </property>
</Properties>
</file>