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45"/>
        <w:gridCol w:w="1078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8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吕瑞琪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刘昆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continue"/>
            <w:vAlign w:val="center"/>
          </w:tcPr>
          <w:p/>
        </w:tc>
        <w:tc>
          <w:tcPr>
            <w:tcW w:w="1145" w:type="dxa"/>
            <w:vMerge w:val="continue"/>
            <w:vAlign w:val="center"/>
          </w:tcPr>
          <w:p/>
        </w:tc>
        <w:tc>
          <w:tcPr>
            <w:tcW w:w="1078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eastAsia="zh-CN"/>
              </w:rPr>
              <w:t>2022年09月15日</w:t>
            </w:r>
            <w:bookmarkEnd w:id="1"/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Merge w:val="continue"/>
            <w:vAlign w:val="center"/>
          </w:tcPr>
          <w:p/>
        </w:tc>
        <w:tc>
          <w:tcPr>
            <w:tcW w:w="1145" w:type="dxa"/>
            <w:vMerge w:val="continue"/>
            <w:vAlign w:val="center"/>
          </w:tcPr>
          <w:p/>
        </w:tc>
        <w:tc>
          <w:tcPr>
            <w:tcW w:w="1078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7.1.2人员、7.1.6组织知识、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7.2能力、7.3意识、7.5形成文件的信息、</w:t>
            </w:r>
            <w:r>
              <w:rPr>
                <w:rFonts w:ascii="宋体" w:hAnsi="宋体" w:cs="Arial"/>
                <w:sz w:val="21"/>
                <w:szCs w:val="21"/>
              </w:rPr>
              <w:t>9.1.1</w:t>
            </w:r>
            <w:r>
              <w:rPr>
                <w:rFonts w:hint="eastAsia" w:ascii="宋体" w:hAnsi="宋体" w:cs="Arial"/>
                <w:sz w:val="21"/>
                <w:szCs w:val="21"/>
              </w:rPr>
              <w:t>监视、测量、分析和评价、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hint="eastAsia" w:ascii="宋体" w:hAnsi="宋体" w:cs="Arial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>9.2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内部审核、10.2不符合/事件和纠正措施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/O</w:t>
            </w:r>
            <w:r>
              <w:rPr>
                <w:rFonts w:ascii="宋体" w:hAnsi="宋体" w:cs="Arial"/>
                <w:sz w:val="21"/>
                <w:szCs w:val="21"/>
              </w:rPr>
              <w:t>:5.3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6.1.4措施的策划、6.1.3合规义务、9.1.2合规性评价、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7.2能力、7.3意识、7.5形成文件的信息、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9.1监视、测量、分析和评价、</w:t>
            </w:r>
            <w:r>
              <w:rPr>
                <w:rFonts w:ascii="宋体" w:hAnsi="宋体" w:cs="Arial"/>
                <w:sz w:val="21"/>
                <w:szCs w:val="21"/>
              </w:rPr>
              <w:t>9.2</w:t>
            </w:r>
            <w:r>
              <w:rPr>
                <w:rFonts w:hint="eastAsia" w:ascii="宋体" w:hAnsi="宋体" w:cs="Arial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不合格和纠正措施</w:t>
            </w:r>
          </w:p>
        </w:tc>
        <w:tc>
          <w:tcPr>
            <w:tcW w:w="98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行政部现有</w:t>
            </w:r>
            <w:r>
              <w:rPr>
                <w:rFonts w:hint="eastAsia" w:hAnsi="宋体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，主任</w:t>
            </w:r>
            <w:r>
              <w:rPr>
                <w:rFonts w:hint="eastAsia" w:hAnsi="宋体"/>
                <w:szCs w:val="21"/>
                <w:lang w:val="en-US" w:eastAsia="zh-CN"/>
              </w:rPr>
              <w:t>1人、管理人员1人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主要负责：质量环境安全目标方案的制定实施，办公用品的管理，信息交流与沟通，人力资源管理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文件记录的管理控制；环境因素和危险源进行识别和控制；体系运行检查、内审；进行法律法规收集及合规性评价</w:t>
            </w:r>
            <w:bookmarkStart w:id="2" w:name="_GoBack"/>
            <w:bookmarkEnd w:id="2"/>
            <w:r>
              <w:rPr>
                <w:rFonts w:hint="eastAsia" w:hAnsi="宋体"/>
                <w:szCs w:val="21"/>
              </w:rPr>
              <w:t>；应急准备和相应控制，不符合纠正与预防，事故事件调查处理等。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查见“目标考核表”，显示对各部门进行了目标分解，并制定实施措施，行政部目标：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招聘和培训合格率达95%以上；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固体废弃物分类处理100%；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潜在火灾发生概率为0；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触电事故发生率为0：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目标考核表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2022.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8.15考核，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4-6月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 xml:space="preserve">7.1.6 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保持软件著作权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24项；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人力资源</w:t>
            </w:r>
          </w:p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Q7.1.2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EO7.1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QEO7.2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7.3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编制执行《人力资源控制程序》等，规定了人力资源配备、培训计划与实施，考核与认可等予以规定。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公司现有人员15人，配置了适宜的人员：如管理人员、技术人员、销售人员、检验人员等；人员配置基本满足日常管理体系运行要求。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“202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年度培训计划”，培训内容涉及：管理手册、程序文件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环境、安全管理目标及方案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环境安全法律法规的培训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地方法律法规的培训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业务员在外安全事项的培训等。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培训记录及培训效果评价表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1、管理手册、程序文件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2022.4.26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2、管理体系内审员培训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2022.5.15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经现场讨论考核合格。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查见人员资质证书：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信息系统项目管理师——高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查公司用于安全和环保方面的费用约为1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  <w:t>.37</w:t>
            </w:r>
            <w:r>
              <w:rPr>
                <w:rFonts w:hint="eastAsia" w:ascii="宋体" w:hAnsi="宋体" w:cs="Arial"/>
                <w:color w:val="auto"/>
                <w:spacing w:val="-6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</w:rPr>
              <w:t>元，能保证质量、环境、职业健康安全工作的开展，确保资金及时投入。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询问员工能明确自身职责及各岗位要求，自身工作影响，人身安全意识等；能回答公司的方针及部门目标，并且能够意识到自己岗位对整个流程的重要性和偏离的后果。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QEO7.5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管理手册——A/0，实施日期：2022年04月10日；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程序文件——A/0，实施日期：2022年04月10日；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外来文件管理：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公司对外来文件及法律法规进行了收集、识别、分发、控制。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《外来文件清单》，外来文件管理符合要求。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pacing w:val="-6"/>
                <w:szCs w:val="21"/>
              </w:rPr>
              <w:t>QEO9.1.1</w:t>
            </w:r>
            <w:r>
              <w:rPr>
                <w:rFonts w:hAnsi="宋体"/>
                <w:szCs w:val="21"/>
              </w:rPr>
              <w:t>、</w:t>
            </w:r>
            <w:r>
              <w:rPr>
                <w:szCs w:val="21"/>
              </w:rPr>
              <w:t>Q9.1.3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查到《环境、安全检查记录》，检查项目内容涉及：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办公/生活区域卫生是否清理干净，固废收集情况；生活垃圾是否及时清理；办公区域是否安全用电；消防设施是否完好；消防通道是否畅通；有无长明灯或开关损坏；空调温度是否按规定使用等。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抽查202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4-7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检查结果均正常，检查人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吕瑞琪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介绍说，本公司没有涉及职业病危害的工作岗位，没有进行职业病体检。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公司能遵守相关的法律法规，没有违反环境、职业健康安全法律法规现象，近期没有发生环境与职业健康安全的事故。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采取多因子评价法进行了评价，查到“重要环境因素清单”，评价出固体废弃物排放、潜在火灾等2项重要环境因素。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经评价行政部的重要环境因素为：固废、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活动和上下班途中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潜在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火灾、触电。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废弃物控制程序、噪声控制程序、消防控制程序、资源能源控制程序、安全防火规程、劳动防护用品控制程序、办公用品管理规定、节约用水管理规定、垃圾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查见劳动合同、安全生产责任状等；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按公司要求人走关灯，行政部电脑要求人走后电源切断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公司配置了垃圾箱，行政部统一处理。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和摄像头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未设置安全通道的指示标识，督促现场整改；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14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787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环境法律法规及其他要求清单、职业健康安全法律法规及其他要求清单，分别收集了环境保护和职业健康安全相关的法律法规以及条例、标准等97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、GB/T17743-2017电器照明和类似设备的无线电骚扰特性的限值和测量方法、信息技术设备抗扰度限值和测量方法等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年7月10日，公司进行了合规性评价，明确了评价范围和依据，评价结论：公司对适用的法律、法规均已遵守。公司未发生任何破坏环境的现象及安全事故现象；未发生任何顾客、周边居民因环境、安全事故而投诉的现象。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8.2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应急设施配置：在办公场所内、研发区域内均配备了灭火器等消防设施，均在有效期内，状态良好。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2022年5月15日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《火灾应急救援预案演练记录》，参加人员各岗位人员；记录演练过程、急救措施等内容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，对演练进行了评审，未提出需要改进的地方；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9.2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2022年7月15-16日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14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10.2</w:t>
            </w:r>
          </w:p>
        </w:tc>
        <w:tc>
          <w:tcPr>
            <w:tcW w:w="107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98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43A13BD"/>
    <w:rsid w:val="440C6C9E"/>
    <w:rsid w:val="48FA2DBA"/>
    <w:rsid w:val="603B3E30"/>
    <w:rsid w:val="775C38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4313</Words>
  <Characters>4610</Characters>
  <Lines>1</Lines>
  <Paragraphs>1</Paragraphs>
  <TotalTime>9</TotalTime>
  <ScaleCrop>false</ScaleCrop>
  <LinksUpToDate>false</LinksUpToDate>
  <CharactersWithSpaces>4644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2022-09-16T07:47:44Z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9C53926B0E6F4C069D4D8E12AD79B2CE</vt:lpwstr>
  </property>
  <property fmtid="{D5CDD505-2E9C-101B-9397-08002B2CF9AE}" pid="3" name="KSOProductBuildVer">
    <vt:lpwstr>2052-11.1.0.12358</vt:lpwstr>
  </property>
</Properties>
</file>