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江西讯森智能科技有限公司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江西省宜春市樟树市四特大道盛世壹品小区一栋一单元201号商铺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江西省宜春市樟树市四特大道盛世壹品小区一栋一单元201号商铺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黄云刚</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13657951888</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406672391@qq.com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r>
              <w:t>13657951888</w:t>
            </w:r>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1033-2022-QEO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Q：智慧图书馆（库）/智慧档案馆（库）系统、智能书架/智能密集架及控制系统、恒温恒湿及环境监测系统的研发和销售</w:t>
            </w:r>
          </w:p>
          <w:p>
            <w:pPr>
              <w:rPr>
                <w:sz w:val="20"/>
              </w:rPr>
            </w:pPr>
            <w:r>
              <w:rPr>
                <w:sz w:val="20"/>
              </w:rPr>
              <w:t>E：智慧图书馆（库）/智慧档案馆（库）系统、智能书架/智能密集架及控制系统、恒温恒湿及环境监测系统的研发和销售所涉及场所的相关环境管理活动</w:t>
            </w:r>
          </w:p>
          <w:p>
            <w:pPr>
              <w:rPr>
                <w:sz w:val="20"/>
              </w:rPr>
            </w:pPr>
            <w:r>
              <w:rPr>
                <w:sz w:val="20"/>
              </w:rPr>
              <w:t>O：智慧图书馆（库）/智慧档案馆（库）系统、智能书架/智能密集架及控制系统、恒温恒湿及环境监测系统的研发和销售所涉及场所的相关职业健康安全管理活动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Q：33.02.01</w:t>
            </w:r>
          </w:p>
          <w:p>
            <w:pPr>
              <w:jc w:val="left"/>
              <w:rPr>
                <w:sz w:val="20"/>
              </w:rPr>
            </w:pPr>
            <w:r>
              <w:rPr>
                <w:sz w:val="20"/>
              </w:rPr>
              <w:t>E：33.02.01</w:t>
            </w:r>
          </w:p>
          <w:p>
            <w:pPr>
              <w:jc w:val="left"/>
              <w:rPr>
                <w:sz w:val="20"/>
              </w:rPr>
            </w:pPr>
            <w:r>
              <w:rPr>
                <w:sz w:val="20"/>
              </w:rPr>
              <w:t>O：33.02.01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审核准则</w:t>
            </w:r>
          </w:p>
        </w:tc>
        <w:tc>
          <w:tcPr>
            <w:tcW w:w="9179" w:type="dxa"/>
            <w:gridSpan w:val="12"/>
            <w:vAlign w:val="center"/>
          </w:tcPr>
          <w:p>
            <w:pPr>
              <w:jc w:val="left"/>
              <w:rPr>
                <w:rFonts w:hint="eastAsia"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p>
          <w:p>
            <w:pPr>
              <w:jc w:val="left"/>
              <w:rPr>
                <w:rFonts w:ascii="宋体" w:hAnsi="宋体"/>
                <w:b/>
                <w:sz w:val="21"/>
                <w:szCs w:val="21"/>
              </w:rPr>
            </w:pPr>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2022年09月15日 上午至2022年09月17日 下午</w:t>
            </w:r>
            <w:bookmarkEnd w:id="33"/>
            <w:r>
              <w:rPr>
                <w:rFonts w:hint="eastAsia"/>
                <w:b/>
                <w:sz w:val="20"/>
              </w:rPr>
              <w:t>(共</w:t>
            </w:r>
            <w:bookmarkStart w:id="34" w:name="审核天数"/>
            <w:r>
              <w:rPr>
                <w:rFonts w:hint="eastAsia"/>
                <w:b/>
                <w:sz w:val="20"/>
              </w:rPr>
              <w:t>3.0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褚敏杰</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0"/>
                <w:lang w:val="de-DE"/>
              </w:rPr>
            </w:pPr>
            <w:r>
              <w:rPr>
                <w:sz w:val="20"/>
                <w:lang w:val="de-DE"/>
              </w:rPr>
              <w:t>2022-N1OHSMS-3068076</w:t>
            </w:r>
          </w:p>
        </w:tc>
        <w:tc>
          <w:tcPr>
            <w:tcW w:w="1696" w:type="dxa"/>
            <w:gridSpan w:val="2"/>
            <w:vAlign w:val="center"/>
          </w:tcPr>
          <w:p>
            <w:pPr>
              <w:jc w:val="center"/>
              <w:rPr>
                <w:sz w:val="20"/>
                <w:lang w:val="de-DE"/>
              </w:rPr>
            </w:pPr>
            <w:r>
              <w:rPr>
                <w:sz w:val="20"/>
                <w:lang w:val="de-DE"/>
              </w:rPr>
              <w:t>Q:33.02.01</w:t>
            </w:r>
          </w:p>
          <w:p>
            <w:pPr>
              <w:jc w:val="center"/>
              <w:rPr>
                <w:sz w:val="20"/>
                <w:lang w:val="de-DE"/>
              </w:rPr>
            </w:pPr>
            <w:r>
              <w:rPr>
                <w:sz w:val="20"/>
                <w:lang w:val="de-DE"/>
              </w:rPr>
              <w:t>E:33.02.01</w:t>
            </w:r>
          </w:p>
          <w:p>
            <w:pPr>
              <w:jc w:val="center"/>
              <w:rPr>
                <w:sz w:val="20"/>
                <w:lang w:val="de-DE"/>
              </w:rPr>
            </w:pPr>
            <w:r>
              <w:rPr>
                <w:sz w:val="20"/>
                <w:lang w:val="de-DE"/>
              </w:rPr>
              <w:t>O:33.02.01</w:t>
            </w:r>
          </w:p>
        </w:tc>
        <w:tc>
          <w:tcPr>
            <w:tcW w:w="1299" w:type="dxa"/>
            <w:gridSpan w:val="4"/>
            <w:vAlign w:val="center"/>
          </w:tcPr>
          <w:p>
            <w:pPr>
              <w:jc w:val="center"/>
              <w:rPr>
                <w:sz w:val="20"/>
                <w:lang w:val="de-DE"/>
              </w:rPr>
            </w:pPr>
            <w:r>
              <w:rPr>
                <w:sz w:val="20"/>
                <w:lang w:val="de-DE"/>
              </w:rPr>
              <w:t>15170020221</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eastAsia="zh-CN"/>
              </w:rPr>
            </w:pPr>
            <w:r>
              <w:rPr>
                <w:rFonts w:hint="eastAsia"/>
                <w:sz w:val="21"/>
                <w:szCs w:val="21"/>
                <w:lang w:eastAsia="zh-CN"/>
              </w:rPr>
              <w:t>褚敏杰</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15170020221</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2022.9.14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2022.9.14</w:t>
            </w:r>
          </w:p>
        </w:tc>
        <w:tc>
          <w:tcPr>
            <w:tcW w:w="2061" w:type="dxa"/>
            <w:gridSpan w:val="5"/>
            <w:vAlign w:val="center"/>
          </w:tcPr>
          <w:p>
            <w:pPr>
              <w:rPr>
                <w:sz w:val="21"/>
                <w:szCs w:val="21"/>
              </w:rPr>
            </w:pPr>
            <w:r>
              <w:rPr>
                <w:rFonts w:hint="eastAsia"/>
                <w:sz w:val="20"/>
              </w:rPr>
              <w:t>日期</w:t>
            </w:r>
          </w:p>
        </w:tc>
        <w:tc>
          <w:tcPr>
            <w:tcW w:w="1380" w:type="dxa"/>
            <w:vAlign w:val="center"/>
          </w:tcPr>
          <w:p>
            <w:pPr>
              <w:rPr>
                <w:rFonts w:hint="default" w:eastAsia="宋体"/>
                <w:sz w:val="21"/>
                <w:szCs w:val="21"/>
                <w:lang w:val="en-US" w:eastAsia="zh-CN"/>
              </w:rPr>
            </w:pPr>
            <w:r>
              <w:rPr>
                <w:rFonts w:hint="eastAsia"/>
                <w:sz w:val="21"/>
                <w:szCs w:val="21"/>
                <w:lang w:val="en-US" w:eastAsia="zh-CN"/>
              </w:rPr>
              <w:t>2022.9.15</w:t>
            </w:r>
          </w:p>
        </w:tc>
      </w:tr>
    </w:tbl>
    <w:p>
      <w:bookmarkStart w:id="36" w:name="_GoBack"/>
      <w:r>
        <w:drawing>
          <wp:anchor distT="0" distB="0" distL="114300" distR="114300" simplePos="0" relativeHeight="251659264" behindDoc="0" locked="0" layoutInCell="1" allowOverlap="1">
            <wp:simplePos x="0" y="0"/>
            <wp:positionH relativeFrom="column">
              <wp:posOffset>-459105</wp:posOffset>
            </wp:positionH>
            <wp:positionV relativeFrom="paragraph">
              <wp:posOffset>-762635</wp:posOffset>
            </wp:positionV>
            <wp:extent cx="7872730" cy="10828020"/>
            <wp:effectExtent l="0" t="0" r="13970" b="11430"/>
            <wp:wrapNone/>
            <wp:docPr id="1" name="图片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
                    <pic:cNvPicPr>
                      <a:picLocks noChangeAspect="1"/>
                    </pic:cNvPicPr>
                  </pic:nvPicPr>
                  <pic:blipFill>
                    <a:blip r:embed="rId5"/>
                    <a:stretch>
                      <a:fillRect/>
                    </a:stretch>
                  </pic:blipFill>
                  <pic:spPr>
                    <a:xfrm>
                      <a:off x="0" y="0"/>
                      <a:ext cx="7872730" cy="10828020"/>
                    </a:xfrm>
                    <a:prstGeom prst="rect">
                      <a:avLst/>
                    </a:prstGeom>
                  </pic:spPr>
                </pic:pic>
              </a:graphicData>
            </a:graphic>
          </wp:anchor>
        </w:drawing>
      </w:r>
      <w:bookmarkEnd w:id="36"/>
      <w:r>
        <w:br w:type="page"/>
      </w:r>
    </w:p>
    <w:p>
      <w:pPr>
        <w:snapToGrid w:val="0"/>
        <w:spacing w:beforeLines="50" w:line="400" w:lineRule="exact"/>
        <w:ind w:firstLine="3774" w:firstLineChars="1253"/>
      </w:pPr>
      <w:r>
        <w:rPr>
          <w:rFonts w:hint="eastAsia" w:ascii="宋体" w:hAnsi="宋体"/>
          <w:b/>
          <w:bCs/>
          <w:sz w:val="30"/>
          <w:szCs w:val="30"/>
        </w:rPr>
        <w:t>现场审核日程安排表</w:t>
      </w: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69"/>
        <w:gridCol w:w="923"/>
        <w:gridCol w:w="6315"/>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3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过程、涉及条款</w:t>
            </w:r>
          </w:p>
        </w:tc>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vMerge w:val="restart"/>
            <w:tcBorders>
              <w:top w:val="single" w:color="auto" w:sz="4" w:space="0"/>
              <w:left w:val="single" w:color="auto" w:sz="4" w:space="0"/>
              <w:right w:val="single" w:color="auto" w:sz="4" w:space="0"/>
            </w:tcBorders>
            <w:vAlign w:val="center"/>
          </w:tcPr>
          <w:p>
            <w:pPr>
              <w:spacing w:line="240" w:lineRule="exact"/>
              <w:jc w:val="both"/>
              <w:rPr>
                <w:rFonts w:hint="default" w:ascii="宋体" w:hAnsi="宋体" w:eastAsia="宋体" w:cs="Arial"/>
                <w:sz w:val="21"/>
                <w:szCs w:val="21"/>
                <w:lang w:val="en-US" w:eastAsia="zh-CN"/>
              </w:rPr>
            </w:pPr>
            <w:r>
              <w:rPr>
                <w:rFonts w:hint="eastAsia" w:ascii="宋体" w:hAnsi="宋体" w:cs="Arial"/>
                <w:sz w:val="21"/>
                <w:szCs w:val="21"/>
                <w:lang w:val="en-US" w:eastAsia="zh-CN"/>
              </w:rPr>
              <w:t>9.15</w:t>
            </w:r>
          </w:p>
        </w:tc>
        <w:tc>
          <w:tcPr>
            <w:tcW w:w="1569"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Arial"/>
                <w:sz w:val="21"/>
                <w:szCs w:val="21"/>
              </w:rPr>
            </w:pPr>
            <w:r>
              <w:rPr>
                <w:rFonts w:hint="eastAsia" w:ascii="宋体" w:hAnsi="宋体" w:cs="Arial"/>
                <w:sz w:val="21"/>
                <w:szCs w:val="21"/>
                <w:lang w:val="en-US" w:eastAsia="zh-CN"/>
              </w:rPr>
              <w:t>08:3</w:t>
            </w:r>
            <w:r>
              <w:rPr>
                <w:rFonts w:hint="eastAsia" w:ascii="宋体" w:hAnsi="宋体" w:cs="Arial"/>
                <w:sz w:val="21"/>
                <w:szCs w:val="21"/>
              </w:rPr>
              <w:t>0</w:t>
            </w:r>
            <w:r>
              <w:rPr>
                <w:rFonts w:hint="eastAsia" w:ascii="宋体" w:hAnsi="宋体" w:cs="Arial"/>
                <w:sz w:val="21"/>
                <w:szCs w:val="21"/>
                <w:lang w:val="en-US" w:eastAsia="zh-CN"/>
              </w:rPr>
              <w:t>-09</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tc>
        <w:tc>
          <w:tcPr>
            <w:tcW w:w="7238" w:type="dxa"/>
            <w:gridSpan w:val="2"/>
            <w:tcBorders>
              <w:top w:val="single" w:color="auto" w:sz="4" w:space="0"/>
              <w:left w:val="single" w:color="auto" w:sz="4" w:space="0"/>
              <w:bottom w:val="single" w:color="auto" w:sz="4" w:space="0"/>
              <w:right w:val="single" w:color="auto" w:sz="4" w:space="0"/>
            </w:tcBorders>
          </w:tcPr>
          <w:p>
            <w:pPr>
              <w:spacing w:line="280" w:lineRule="exact"/>
              <w:ind w:firstLine="422" w:firstLineChars="200"/>
              <w:jc w:val="left"/>
              <w:rPr>
                <w:rFonts w:ascii="宋体" w:hAnsi="宋体" w:cs="Arial"/>
                <w:spacing w:val="-6"/>
                <w:sz w:val="21"/>
                <w:szCs w:val="21"/>
              </w:rPr>
            </w:pPr>
            <w:r>
              <w:rPr>
                <w:rFonts w:hint="eastAsia" w:ascii="宋体" w:hAnsi="宋体"/>
                <w:b/>
                <w:sz w:val="21"/>
                <w:szCs w:val="21"/>
              </w:rPr>
              <w:t>首次会议</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sz w:val="21"/>
                <w:szCs w:val="21"/>
              </w:rPr>
            </w:pPr>
            <w:r>
              <w:rPr>
                <w:rFonts w:hint="eastAsia" w:ascii="宋体" w:hAnsi="宋体" w:cs="Arial"/>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vMerge w:val="continue"/>
            <w:tcBorders>
              <w:left w:val="single" w:color="auto" w:sz="4" w:space="0"/>
              <w:right w:val="single" w:color="auto" w:sz="4" w:space="0"/>
            </w:tcBorders>
          </w:tcPr>
          <w:p>
            <w:pPr>
              <w:spacing w:line="240" w:lineRule="exact"/>
              <w:rPr>
                <w:rFonts w:ascii="宋体" w:hAnsi="宋体" w:cs="Arial"/>
                <w:sz w:val="21"/>
                <w:szCs w:val="21"/>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Arial"/>
                <w:sz w:val="21"/>
                <w:szCs w:val="21"/>
              </w:rPr>
            </w:pPr>
            <w:r>
              <w:rPr>
                <w:rFonts w:hint="eastAsia" w:ascii="宋体" w:hAnsi="宋体" w:cs="Arial"/>
                <w:sz w:val="21"/>
                <w:szCs w:val="21"/>
                <w:lang w:val="en-US" w:eastAsia="zh-CN"/>
              </w:rPr>
              <w:t>09</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r>
              <w:rPr>
                <w:rFonts w:hint="eastAsia" w:ascii="宋体" w:hAnsi="宋体" w:cs="Arial"/>
                <w:sz w:val="21"/>
                <w:szCs w:val="21"/>
                <w:lang w:val="en-US" w:eastAsia="zh-CN"/>
              </w:rPr>
              <w:t>-09</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s="Arial"/>
                <w:b/>
                <w:sz w:val="21"/>
                <w:szCs w:val="21"/>
              </w:rPr>
            </w:pPr>
            <w:r>
              <w:rPr>
                <w:rFonts w:hint="eastAsia" w:ascii="宋体" w:hAnsi="宋体" w:cs="Arial"/>
                <w:b/>
                <w:sz w:val="21"/>
                <w:szCs w:val="21"/>
              </w:rPr>
              <w:t>管理层</w:t>
            </w:r>
          </w:p>
          <w:p>
            <w:pPr>
              <w:spacing w:line="280" w:lineRule="exact"/>
              <w:rPr>
                <w:rFonts w:ascii="宋体" w:hAnsi="宋体"/>
                <w:b/>
                <w:bCs/>
                <w:sz w:val="21"/>
                <w:szCs w:val="21"/>
              </w:rPr>
            </w:pPr>
            <w:r>
              <w:rPr>
                <w:rFonts w:hint="eastAsia" w:ascii="宋体" w:hAnsi="宋体" w:cs="Arial"/>
                <w:b/>
                <w:sz w:val="21"/>
                <w:szCs w:val="21"/>
              </w:rPr>
              <w:t>员工代表</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12" w:lineRule="auto"/>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职业健康安全管理体系及其过程、5.1领导作用和承诺、5.2质量/环境/职业健康安全方针、5.3组织的岗位、职责和权限、6.1应对风险和机遇的措施、6.2质量/环境</w:t>
            </w:r>
            <w:r>
              <w:rPr>
                <w:rFonts w:hint="eastAsia" w:ascii="宋体" w:hAnsi="宋体" w:cs="Arial"/>
                <w:spacing w:val="-6"/>
                <w:sz w:val="21"/>
                <w:szCs w:val="21"/>
                <w:lang w:val="en-US" w:eastAsia="zh-CN"/>
              </w:rPr>
              <w:t>/</w:t>
            </w:r>
            <w:r>
              <w:rPr>
                <w:rFonts w:hint="eastAsia" w:ascii="宋体" w:hAnsi="宋体" w:cs="Arial"/>
                <w:spacing w:val="-6"/>
                <w:sz w:val="21"/>
                <w:szCs w:val="21"/>
              </w:rPr>
              <w:t>职业健康安全目标及其实现的策划、7.1资源、7.4信息交流、9.3管理评审、10.1改进、10.3持续改进</w:t>
            </w:r>
          </w:p>
          <w:p>
            <w:pPr>
              <w:keepNext w:val="0"/>
              <w:keepLines w:val="0"/>
              <w:pageBreakBefore w:val="0"/>
              <w:widowControl w:val="0"/>
              <w:kinsoku/>
              <w:wordWrap/>
              <w:overflowPunct/>
              <w:topLinePunct w:val="0"/>
              <w:autoSpaceDE/>
              <w:autoSpaceDN/>
              <w:bidi w:val="0"/>
              <w:spacing w:line="312" w:lineRule="auto"/>
              <w:rPr>
                <w:rFonts w:hint="eastAsia" w:ascii="宋体" w:hAnsi="宋体" w:cs="Arial"/>
                <w:spacing w:val="-6"/>
                <w:sz w:val="21"/>
                <w:szCs w:val="21"/>
              </w:rPr>
            </w:pPr>
            <w:r>
              <w:rPr>
                <w:rFonts w:hint="eastAsia" w:ascii="宋体" w:hAnsi="宋体" w:cs="Arial"/>
                <w:spacing w:val="-6"/>
                <w:sz w:val="21"/>
                <w:szCs w:val="21"/>
              </w:rPr>
              <w:t>Q6.3变更的策划、O5.4协商与参与</w:t>
            </w:r>
          </w:p>
          <w:p>
            <w:pPr>
              <w:keepNext w:val="0"/>
              <w:keepLines w:val="0"/>
              <w:pageBreakBefore w:val="0"/>
              <w:widowControl w:val="0"/>
              <w:kinsoku/>
              <w:wordWrap/>
              <w:overflowPunct/>
              <w:topLinePunct w:val="0"/>
              <w:autoSpaceDE/>
              <w:autoSpaceDN/>
              <w:bidi w:val="0"/>
              <w:spacing w:line="312" w:lineRule="auto"/>
              <w:rPr>
                <w:rFonts w:ascii="宋体" w:hAnsi="宋体" w:cs="Arial"/>
                <w:sz w:val="21"/>
                <w:szCs w:val="21"/>
              </w:rPr>
            </w:pPr>
            <w:r>
              <w:rPr>
                <w:rFonts w:hint="eastAsia" w:ascii="宋体" w:hAnsi="宋体" w:cs="Arial"/>
                <w:spacing w:val="-6"/>
                <w:sz w:val="21"/>
                <w:szCs w:val="21"/>
                <w:u w:val="none"/>
              </w:rPr>
              <w:t>标准/规范/法规的执行情况、</w:t>
            </w:r>
            <w:r>
              <w:rPr>
                <w:rFonts w:hint="eastAsia" w:ascii="宋体" w:hAnsi="宋体" w:cs="Arial"/>
                <w:spacing w:val="-6"/>
                <w:sz w:val="21"/>
                <w:szCs w:val="21"/>
                <w:u w:val="none"/>
                <w:lang w:eastAsia="zh-CN"/>
              </w:rPr>
              <w:t>一阶段</w:t>
            </w:r>
            <w:r>
              <w:rPr>
                <w:rFonts w:hint="eastAsia" w:ascii="宋体" w:hAnsi="宋体" w:cs="Arial"/>
                <w:spacing w:val="-6"/>
                <w:sz w:val="21"/>
                <w:szCs w:val="21"/>
                <w:u w:val="none"/>
              </w:rPr>
              <w:t>审核不符合项的验证、认证证书、标志的使用情况、投诉或事故、监督抽查情况</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cs="Arial"/>
                <w:sz w:val="21"/>
                <w:szCs w:val="21"/>
                <w:lang w:val="en-US" w:eastAsia="zh-CN"/>
              </w:rPr>
            </w:pPr>
            <w:r>
              <w:rPr>
                <w:rFonts w:hint="eastAsia" w:ascii="宋体" w:hAnsi="宋体" w:cs="Arial"/>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vMerge w:val="continue"/>
            <w:tcBorders>
              <w:left w:val="single" w:color="auto" w:sz="4" w:space="0"/>
              <w:right w:val="single" w:color="auto" w:sz="4" w:space="0"/>
            </w:tcBorders>
          </w:tcPr>
          <w:p>
            <w:pPr>
              <w:spacing w:line="240" w:lineRule="exact"/>
              <w:rPr>
                <w:rFonts w:ascii="宋体" w:hAnsi="宋体" w:cs="Arial"/>
                <w:sz w:val="21"/>
                <w:szCs w:val="21"/>
              </w:rPr>
            </w:pPr>
          </w:p>
        </w:tc>
        <w:tc>
          <w:tcPr>
            <w:tcW w:w="1569" w:type="dxa"/>
            <w:tcBorders>
              <w:top w:val="single" w:color="auto" w:sz="4" w:space="0"/>
              <w:left w:val="single" w:color="auto" w:sz="4" w:space="0"/>
              <w:right w:val="single" w:color="auto" w:sz="4" w:space="0"/>
            </w:tcBorders>
            <w:vAlign w:val="center"/>
          </w:tcPr>
          <w:p>
            <w:pPr>
              <w:pStyle w:val="2"/>
              <w:jc w:val="both"/>
              <w:rPr>
                <w:rFonts w:hint="eastAsia" w:ascii="宋体" w:hAnsi="宋体" w:cs="Arial"/>
                <w:sz w:val="21"/>
                <w:szCs w:val="21"/>
                <w:lang w:val="en-US" w:eastAsia="zh-CN"/>
              </w:rPr>
            </w:pPr>
            <w:r>
              <w:rPr>
                <w:rFonts w:hint="eastAsia" w:ascii="宋体" w:hAnsi="宋体" w:cs="Arial"/>
                <w:sz w:val="21"/>
                <w:szCs w:val="21"/>
                <w:lang w:val="en-US" w:eastAsia="zh-CN"/>
              </w:rPr>
              <w:t>09:30-17:30</w:t>
            </w:r>
          </w:p>
          <w:p>
            <w:pPr>
              <w:pStyle w:val="2"/>
              <w:jc w:val="both"/>
              <w:rPr>
                <w:rFonts w:hint="eastAsia" w:ascii="宋体" w:hAnsi="宋体" w:cs="Arial"/>
                <w:sz w:val="21"/>
                <w:szCs w:val="21"/>
                <w:lang w:val="en-US" w:eastAsia="zh-CN"/>
              </w:rPr>
            </w:pPr>
            <w:r>
              <w:rPr>
                <w:rFonts w:hint="eastAsia" w:ascii="宋体" w:hAnsi="宋体" w:cs="Arial"/>
                <w:sz w:val="21"/>
                <w:szCs w:val="21"/>
                <w:lang w:val="en-US" w:eastAsia="zh-CN"/>
              </w:rPr>
              <w:t>12:00-12:30</w:t>
            </w:r>
          </w:p>
          <w:p>
            <w:pPr>
              <w:pStyle w:val="2"/>
              <w:jc w:val="both"/>
              <w:rPr>
                <w:rFonts w:hint="default" w:ascii="宋体" w:hAnsi="宋体" w:cs="Arial"/>
                <w:sz w:val="21"/>
                <w:szCs w:val="21"/>
                <w:lang w:val="en-US" w:eastAsia="zh-CN"/>
              </w:rPr>
            </w:pPr>
            <w:r>
              <w:rPr>
                <w:rFonts w:hint="eastAsia" w:ascii="宋体" w:hAnsi="宋体" w:cs="Arial"/>
                <w:sz w:val="21"/>
                <w:szCs w:val="21"/>
                <w:lang w:val="en-US" w:eastAsia="zh-CN"/>
              </w:rPr>
              <w:t>午餐</w:t>
            </w:r>
          </w:p>
        </w:tc>
        <w:tc>
          <w:tcPr>
            <w:tcW w:w="9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b/>
                <w:bCs/>
                <w:sz w:val="21"/>
                <w:szCs w:val="21"/>
                <w:lang w:eastAsia="zh-CN"/>
              </w:rPr>
            </w:pPr>
            <w:r>
              <w:rPr>
                <w:rFonts w:hint="eastAsia" w:ascii="宋体" w:hAnsi="宋体"/>
                <w:b/>
                <w:bCs/>
                <w:sz w:val="21"/>
                <w:szCs w:val="21"/>
                <w:lang w:eastAsia="zh-CN"/>
              </w:rPr>
              <w:t>行政部</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right="120" w:rightChars="50"/>
              <w:jc w:val="left"/>
              <w:textAlignment w:val="baseline"/>
              <w:rPr>
                <w:rFonts w:ascii="宋体" w:hAnsi="宋体" w:cs="Arial"/>
                <w:sz w:val="21"/>
                <w:szCs w:val="21"/>
              </w:rPr>
            </w:pPr>
            <w:r>
              <w:rPr>
                <w:rFonts w:ascii="宋体" w:hAnsi="宋体" w:cs="Arial"/>
                <w:sz w:val="21"/>
                <w:szCs w:val="21"/>
              </w:rPr>
              <w:t>Q:5.3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hint="eastAsia" w:ascii="宋体" w:hAnsi="宋体" w:cs="Arial"/>
                <w:sz w:val="21"/>
                <w:szCs w:val="21"/>
                <w:lang w:val="en-US" w:eastAsia="zh-CN"/>
              </w:rPr>
              <w:t>7.1.2人员、7.1.6组织知识、</w:t>
            </w:r>
            <w:r>
              <w:rPr>
                <w:rFonts w:hint="eastAsia" w:ascii="宋体" w:hAnsi="宋体" w:cs="Arial"/>
                <w:sz w:val="21"/>
                <w:szCs w:val="21"/>
              </w:rPr>
              <w:t>7.2能力、7.3意识、7.5形成文件的信息、</w:t>
            </w:r>
            <w:r>
              <w:rPr>
                <w:rFonts w:ascii="宋体" w:hAnsi="宋体" w:cs="Arial"/>
                <w:sz w:val="21"/>
                <w:szCs w:val="21"/>
              </w:rPr>
              <w:t>9.1.1</w:t>
            </w:r>
            <w:r>
              <w:rPr>
                <w:rFonts w:hint="eastAsia" w:ascii="宋体" w:hAnsi="宋体" w:cs="Arial"/>
                <w:sz w:val="21"/>
                <w:szCs w:val="21"/>
              </w:rPr>
              <w:t>监视、测量、分析和评价、</w:t>
            </w:r>
            <w:r>
              <w:rPr>
                <w:rFonts w:ascii="宋体" w:hAnsi="宋体" w:cs="Arial"/>
                <w:sz w:val="21"/>
                <w:szCs w:val="21"/>
              </w:rPr>
              <w:t>9.1.3</w:t>
            </w:r>
            <w:r>
              <w:rPr>
                <w:rFonts w:hint="eastAsia" w:ascii="宋体" w:hAnsi="宋体" w:cs="Arial"/>
                <w:sz w:val="21"/>
                <w:szCs w:val="21"/>
              </w:rPr>
              <w:t>分析与评价、</w:t>
            </w:r>
            <w:r>
              <w:rPr>
                <w:rFonts w:ascii="宋体" w:hAnsi="宋体" w:cs="Arial"/>
                <w:sz w:val="21"/>
                <w:szCs w:val="21"/>
              </w:rPr>
              <w:t>9.2</w:t>
            </w:r>
            <w:r>
              <w:rPr>
                <w:rFonts w:hint="eastAsia" w:ascii="宋体" w:hAnsi="宋体" w:cs="Arial"/>
                <w:sz w:val="21"/>
                <w:szCs w:val="21"/>
              </w:rPr>
              <w:t>内部审核、10.2不符合/事件和纠正措施</w:t>
            </w:r>
          </w:p>
          <w:p>
            <w:pPr>
              <w:keepNext w:val="0"/>
              <w:keepLines w:val="0"/>
              <w:pageBreakBefore w:val="0"/>
              <w:widowControl w:val="0"/>
              <w:kinsoku/>
              <w:wordWrap/>
              <w:overflowPunct/>
              <w:topLinePunct w:val="0"/>
              <w:autoSpaceDE/>
              <w:autoSpaceDN/>
              <w:bidi w:val="0"/>
              <w:adjustRightInd w:val="0"/>
              <w:snapToGrid w:val="0"/>
              <w:spacing w:line="312" w:lineRule="auto"/>
              <w:ind w:right="120" w:rightChars="50"/>
              <w:jc w:val="left"/>
              <w:textAlignment w:val="baseline"/>
              <w:rPr>
                <w:rFonts w:hint="eastAsia" w:ascii="宋体" w:hAnsi="宋体" w:eastAsia="宋体" w:cs="Arial"/>
                <w:kern w:val="2"/>
                <w:sz w:val="21"/>
                <w:szCs w:val="21"/>
                <w:lang w:val="en-US" w:eastAsia="zh-CN" w:bidi="ar-SA"/>
              </w:rPr>
            </w:pP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:5.3</w:t>
            </w:r>
            <w:r>
              <w:rPr>
                <w:rFonts w:hint="eastAsia" w:ascii="宋体" w:hAnsi="宋体" w:cs="Arial"/>
                <w:sz w:val="21"/>
                <w:szCs w:val="21"/>
              </w:rPr>
              <w:t>组织的岗位、职责和权限、</w:t>
            </w:r>
            <w:r>
              <w:rPr>
                <w:rFonts w:ascii="宋体" w:hAnsi="宋体" w:cs="Arial"/>
                <w:sz w:val="21"/>
                <w:szCs w:val="21"/>
              </w:rPr>
              <w:t>6.1.2</w:t>
            </w:r>
            <w:r>
              <w:rPr>
                <w:rFonts w:hint="eastAsia" w:ascii="宋体" w:hAnsi="宋体" w:cs="Arial"/>
                <w:sz w:val="21"/>
                <w:szCs w:val="21"/>
              </w:rPr>
              <w:t>环境因素</w:t>
            </w:r>
            <w:r>
              <w:rPr>
                <w:rFonts w:hint="eastAsia" w:ascii="宋体" w:hAnsi="宋体" w:cs="Arial"/>
                <w:sz w:val="21"/>
                <w:szCs w:val="21"/>
                <w:lang w:eastAsia="zh-CN"/>
              </w:rPr>
              <w:t>、</w:t>
            </w:r>
            <w:r>
              <w:rPr>
                <w:rFonts w:hint="eastAsia" w:ascii="宋体" w:hAnsi="宋体" w:cs="Arial"/>
                <w:sz w:val="21"/>
                <w:szCs w:val="21"/>
              </w:rPr>
              <w:t>6.1.4措施的策划、6.1.3合规义务、9.1.2合规性评价、</w:t>
            </w:r>
            <w:r>
              <w:rPr>
                <w:rFonts w:ascii="宋体" w:hAnsi="宋体" w:cs="Arial"/>
                <w:sz w:val="21"/>
                <w:szCs w:val="21"/>
              </w:rPr>
              <w:t>6.2</w:t>
            </w:r>
            <w:r>
              <w:rPr>
                <w:rFonts w:hint="eastAsia" w:ascii="宋体" w:hAnsi="宋体" w:cs="Arial"/>
                <w:sz w:val="21"/>
                <w:szCs w:val="21"/>
              </w:rPr>
              <w:t>目标、</w:t>
            </w:r>
            <w:r>
              <w:rPr>
                <w:rFonts w:hint="eastAsia" w:ascii="宋体" w:hAnsi="宋体" w:cs="Arial"/>
                <w:sz w:val="21"/>
                <w:szCs w:val="21"/>
                <w:lang w:val="en-US" w:eastAsia="zh-CN"/>
              </w:rPr>
              <w:t>7.1资源、</w:t>
            </w:r>
            <w:r>
              <w:rPr>
                <w:rFonts w:hint="eastAsia" w:ascii="宋体" w:hAnsi="宋体" w:cs="Arial"/>
                <w:sz w:val="21"/>
                <w:szCs w:val="21"/>
              </w:rPr>
              <w:t>7.2能力、7.3意识、7.5形成文件的信息、</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r>
              <w:rPr>
                <w:rFonts w:hint="eastAsia" w:ascii="宋体" w:hAnsi="宋体" w:cs="Arial"/>
                <w:sz w:val="21"/>
                <w:szCs w:val="21"/>
                <w:lang w:eastAsia="zh-CN"/>
              </w:rPr>
              <w:t>、</w:t>
            </w:r>
            <w:r>
              <w:rPr>
                <w:rFonts w:hint="eastAsia" w:ascii="宋体" w:hAnsi="宋体" w:cs="Arial"/>
                <w:sz w:val="21"/>
                <w:szCs w:val="21"/>
              </w:rPr>
              <w:t>9.1监视、测量、分析和评价、</w:t>
            </w:r>
            <w:r>
              <w:rPr>
                <w:rFonts w:ascii="宋体" w:hAnsi="宋体" w:cs="Arial"/>
                <w:sz w:val="21"/>
                <w:szCs w:val="21"/>
              </w:rPr>
              <w:t>9.2</w:t>
            </w:r>
            <w:r>
              <w:rPr>
                <w:rFonts w:hint="eastAsia" w:ascii="宋体" w:hAnsi="宋体" w:cs="Arial"/>
                <w:sz w:val="21"/>
                <w:szCs w:val="21"/>
              </w:rPr>
              <w:t>内部审核、</w:t>
            </w:r>
            <w:r>
              <w:rPr>
                <w:rFonts w:ascii="宋体" w:hAnsi="宋体" w:cs="Arial"/>
                <w:sz w:val="21"/>
                <w:szCs w:val="21"/>
              </w:rPr>
              <w:t>10.2</w:t>
            </w:r>
            <w:r>
              <w:rPr>
                <w:rFonts w:hint="eastAsia" w:ascii="宋体" w:hAnsi="宋体" w:cs="Arial"/>
                <w:sz w:val="21"/>
                <w:szCs w:val="21"/>
              </w:rPr>
              <w:t>不合格和纠正措施</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cs="Arial"/>
                <w:sz w:val="21"/>
                <w:szCs w:val="21"/>
                <w:lang w:val="en-US" w:eastAsia="zh-CN"/>
              </w:rPr>
            </w:pPr>
            <w:r>
              <w:rPr>
                <w:rFonts w:hint="eastAsia" w:ascii="宋体" w:hAnsi="宋体" w:cs="Arial"/>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tcBorders>
              <w:left w:val="single" w:color="auto" w:sz="4" w:space="0"/>
              <w:right w:val="single" w:color="auto" w:sz="4" w:space="0"/>
            </w:tcBorders>
            <w:vAlign w:val="center"/>
          </w:tcPr>
          <w:p>
            <w:pPr>
              <w:spacing w:line="240" w:lineRule="exact"/>
              <w:jc w:val="both"/>
              <w:rPr>
                <w:rFonts w:hint="default" w:ascii="宋体" w:hAnsi="宋体" w:cs="Arial"/>
                <w:sz w:val="21"/>
                <w:szCs w:val="21"/>
                <w:lang w:val="en-US" w:eastAsia="zh-CN"/>
              </w:rPr>
            </w:pPr>
            <w:r>
              <w:rPr>
                <w:rFonts w:hint="eastAsia" w:ascii="宋体" w:hAnsi="宋体" w:cs="Arial"/>
                <w:sz w:val="21"/>
                <w:szCs w:val="21"/>
                <w:lang w:val="en-US" w:eastAsia="zh-CN"/>
              </w:rPr>
              <w:t>9.16</w:t>
            </w:r>
          </w:p>
        </w:tc>
        <w:tc>
          <w:tcPr>
            <w:tcW w:w="1569" w:type="dxa"/>
            <w:tcBorders>
              <w:left w:val="single" w:color="auto" w:sz="4" w:space="0"/>
              <w:right w:val="single" w:color="auto" w:sz="4" w:space="0"/>
            </w:tcBorders>
            <w:vAlign w:val="center"/>
          </w:tcPr>
          <w:p>
            <w:pPr>
              <w:pStyle w:val="2"/>
              <w:jc w:val="both"/>
              <w:rPr>
                <w:rFonts w:hint="eastAsia" w:ascii="宋体" w:hAnsi="宋体" w:cs="Arial"/>
                <w:sz w:val="21"/>
                <w:szCs w:val="21"/>
                <w:highlight w:val="yellow"/>
                <w:lang w:val="en-US" w:eastAsia="zh-CN"/>
              </w:rPr>
            </w:pPr>
            <w:r>
              <w:rPr>
                <w:rFonts w:hint="eastAsia" w:ascii="宋体" w:hAnsi="宋体" w:cs="Arial"/>
                <w:sz w:val="21"/>
                <w:szCs w:val="21"/>
                <w:lang w:val="en-US" w:eastAsia="zh-CN"/>
              </w:rPr>
              <w:t>14</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r>
              <w:rPr>
                <w:rFonts w:hint="eastAsia" w:ascii="宋体" w:hAnsi="宋体" w:cs="Arial"/>
                <w:sz w:val="21"/>
                <w:szCs w:val="21"/>
                <w:lang w:val="en-US" w:eastAsia="zh-CN"/>
              </w:rPr>
              <w:t>-17</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eastAsia="zh-CN"/>
              </w:rPr>
              <w:t>技术部</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right="120" w:rightChars="50"/>
              <w:textAlignment w:val="baseline"/>
              <w:rPr>
                <w:rFonts w:hint="eastAsia" w:ascii="宋体" w:hAnsi="宋体" w:cs="Arial"/>
                <w:sz w:val="21"/>
                <w:szCs w:val="21"/>
              </w:rPr>
            </w:pPr>
            <w:r>
              <w:rPr>
                <w:rFonts w:hint="eastAsia" w:ascii="宋体" w:hAnsi="宋体" w:cs="Arial"/>
                <w:sz w:val="21"/>
                <w:szCs w:val="21"/>
              </w:rPr>
              <w:t>Q:5.3组织的岗位、职责和权限、6.2质量目标、</w:t>
            </w:r>
            <w:r>
              <w:rPr>
                <w:rFonts w:hint="eastAsia" w:ascii="宋体" w:hAnsi="宋体" w:cs="Arial"/>
                <w:sz w:val="21"/>
                <w:szCs w:val="21"/>
                <w:lang w:val="en-US" w:eastAsia="zh-CN"/>
              </w:rPr>
              <w:t>7.1.3设备设施、7.1.4环境</w:t>
            </w:r>
            <w:r>
              <w:rPr>
                <w:rFonts w:hint="eastAsia" w:ascii="宋体" w:hAnsi="宋体" w:cs="Arial"/>
                <w:sz w:val="21"/>
                <w:szCs w:val="21"/>
              </w:rPr>
              <w:t>、7.1.5监视和测量资源、8.1运行策划和控制、</w:t>
            </w:r>
            <w:r>
              <w:rPr>
                <w:rFonts w:hint="eastAsia" w:ascii="宋体" w:hAnsi="宋体" w:cs="Arial"/>
                <w:sz w:val="21"/>
                <w:szCs w:val="21"/>
                <w:lang w:val="en-US" w:eastAsia="zh-CN"/>
              </w:rPr>
              <w:t>8.3设计与开发、</w:t>
            </w:r>
            <w:r>
              <w:rPr>
                <w:rFonts w:hint="eastAsia" w:ascii="宋体" w:hAnsi="宋体" w:cs="Arial"/>
                <w:sz w:val="21"/>
                <w:szCs w:val="21"/>
              </w:rPr>
              <w:t>8.5.1生产和服务提供的控制、8.5.2产品标识和可追朔性、8.5.4产品防护、8.5.6生产和服务提供的更改控制、8.6产品和服务的放行、8.7不合格输出的控制</w:t>
            </w:r>
          </w:p>
          <w:p>
            <w:pPr>
              <w:keepNext w:val="0"/>
              <w:keepLines w:val="0"/>
              <w:pageBreakBefore w:val="0"/>
              <w:widowControl w:val="0"/>
              <w:kinsoku/>
              <w:wordWrap/>
              <w:overflowPunct/>
              <w:topLinePunct w:val="0"/>
              <w:autoSpaceDE/>
              <w:autoSpaceDN/>
              <w:bidi w:val="0"/>
              <w:adjustRightInd w:val="0"/>
              <w:snapToGrid w:val="0"/>
              <w:spacing w:line="312" w:lineRule="auto"/>
              <w:ind w:right="120" w:rightChars="50"/>
              <w:textAlignment w:val="baseline"/>
              <w:rPr>
                <w:rFonts w:ascii="宋体" w:hAnsi="宋体" w:eastAsia="宋体" w:cs="Arial"/>
                <w:b/>
                <w:kern w:val="2"/>
                <w:sz w:val="21"/>
                <w:szCs w:val="21"/>
                <w:lang w:val="en-US" w:eastAsia="zh-CN" w:bidi="ar-SA"/>
              </w:rPr>
            </w:pPr>
            <w:r>
              <w:rPr>
                <w:rFonts w:hint="eastAsia" w:ascii="宋体" w:hAnsi="宋体" w:cs="Arial"/>
                <w:sz w:val="21"/>
                <w:szCs w:val="21"/>
              </w:rPr>
              <w:t>E/O:5.3组织的岗位、职责和权限、6.2环境/职业健康安全目标、6.1.2环境因素/危险源辨识与评价、6.1.4措施的策划、8.1运行策划和控制、8.2应急准备和响应</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8" w:type="dxa"/>
            <w:vMerge w:val="restart"/>
            <w:tcBorders>
              <w:left w:val="single" w:color="auto" w:sz="4" w:space="0"/>
              <w:right w:val="single" w:color="auto" w:sz="4" w:space="0"/>
            </w:tcBorders>
            <w:vAlign w:val="center"/>
          </w:tcPr>
          <w:p>
            <w:pPr>
              <w:spacing w:line="240" w:lineRule="exact"/>
              <w:jc w:val="both"/>
              <w:rPr>
                <w:rFonts w:hint="default" w:ascii="宋体" w:hAnsi="宋体" w:cs="Arial"/>
                <w:sz w:val="21"/>
                <w:szCs w:val="21"/>
                <w:lang w:val="en-US" w:eastAsia="zh-CN"/>
              </w:rPr>
            </w:pPr>
            <w:r>
              <w:rPr>
                <w:rFonts w:hint="eastAsia" w:ascii="宋体" w:hAnsi="宋体" w:cs="Arial"/>
                <w:sz w:val="21"/>
                <w:szCs w:val="21"/>
                <w:lang w:val="en-US" w:eastAsia="zh-CN"/>
              </w:rPr>
              <w:t>9.17</w:t>
            </w:r>
          </w:p>
        </w:tc>
        <w:tc>
          <w:tcPr>
            <w:tcW w:w="1569" w:type="dxa"/>
            <w:tcBorders>
              <w:top w:val="single" w:color="auto" w:sz="4" w:space="0"/>
              <w:left w:val="single" w:color="auto" w:sz="4" w:space="0"/>
              <w:right w:val="single" w:color="auto" w:sz="4" w:space="0"/>
            </w:tcBorders>
            <w:vAlign w:val="center"/>
          </w:tcPr>
          <w:p>
            <w:pPr>
              <w:pStyle w:val="2"/>
              <w:jc w:val="both"/>
              <w:rPr>
                <w:rFonts w:hint="eastAsia" w:ascii="宋体" w:hAnsi="宋体" w:cs="Arial"/>
                <w:sz w:val="21"/>
                <w:szCs w:val="21"/>
              </w:rPr>
            </w:pPr>
            <w:r>
              <w:rPr>
                <w:rFonts w:hint="eastAsia" w:ascii="宋体" w:hAnsi="宋体" w:cs="Arial"/>
                <w:sz w:val="21"/>
                <w:szCs w:val="21"/>
                <w:lang w:val="en-US" w:eastAsia="zh-CN"/>
              </w:rPr>
              <w:t>08</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r>
              <w:rPr>
                <w:rFonts w:hint="eastAsia" w:ascii="宋体" w:hAnsi="宋体" w:cs="Arial"/>
                <w:sz w:val="21"/>
                <w:szCs w:val="21"/>
                <w:lang w:val="en-US" w:eastAsia="zh-CN"/>
              </w:rPr>
              <w:t>-16</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p>
            <w:pPr>
              <w:pStyle w:val="2"/>
              <w:jc w:val="both"/>
              <w:rPr>
                <w:rFonts w:hint="eastAsia" w:ascii="宋体" w:hAnsi="宋体" w:cs="Arial"/>
                <w:sz w:val="21"/>
                <w:szCs w:val="21"/>
                <w:lang w:val="en-US" w:eastAsia="zh-CN"/>
              </w:rPr>
            </w:pPr>
            <w:r>
              <w:rPr>
                <w:rFonts w:hint="eastAsia" w:ascii="宋体" w:hAnsi="宋体" w:cs="Arial"/>
                <w:sz w:val="21"/>
                <w:szCs w:val="21"/>
                <w:lang w:val="en-US" w:eastAsia="zh-CN"/>
              </w:rPr>
              <w:t>12:00-12:30</w:t>
            </w:r>
          </w:p>
          <w:p>
            <w:pPr>
              <w:spacing w:line="240" w:lineRule="exact"/>
              <w:jc w:val="both"/>
              <w:rPr>
                <w:rFonts w:ascii="宋体" w:hAnsi="宋体" w:cs="Arial"/>
                <w:sz w:val="21"/>
                <w:szCs w:val="21"/>
              </w:rPr>
            </w:pPr>
            <w:r>
              <w:rPr>
                <w:rFonts w:hint="eastAsia" w:ascii="宋体" w:hAnsi="宋体" w:cs="Arial"/>
                <w:sz w:val="21"/>
                <w:szCs w:val="21"/>
                <w:lang w:val="en-US" w:eastAsia="zh-CN"/>
              </w:rPr>
              <w:t>午餐</w:t>
            </w:r>
          </w:p>
        </w:tc>
        <w:tc>
          <w:tcPr>
            <w:tcW w:w="9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Times New Roman"/>
                <w:b/>
                <w:bCs/>
                <w:kern w:val="2"/>
                <w:sz w:val="21"/>
                <w:szCs w:val="21"/>
                <w:lang w:val="en-US" w:eastAsia="zh-CN" w:bidi="ar-SA"/>
              </w:rPr>
            </w:pPr>
            <w:r>
              <w:rPr>
                <w:rFonts w:hint="eastAsia" w:ascii="宋体" w:hAnsi="宋体" w:cs="Arial"/>
                <w:b/>
                <w:sz w:val="21"/>
                <w:szCs w:val="21"/>
                <w:lang w:eastAsia="zh-CN"/>
              </w:rPr>
              <w:t>业务部</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right="120" w:rightChars="50"/>
              <w:textAlignment w:val="baseline"/>
              <w:rPr>
                <w:rFonts w:ascii="宋体" w:hAnsi="宋体" w:cs="Arial"/>
                <w:sz w:val="21"/>
                <w:szCs w:val="21"/>
              </w:rPr>
            </w:pPr>
            <w:r>
              <w:rPr>
                <w:rFonts w:hint="eastAsia" w:ascii="宋体" w:hAnsi="宋体" w:cs="Arial"/>
                <w:sz w:val="21"/>
                <w:szCs w:val="21"/>
              </w:rPr>
              <w:t>Q:5.3组织的岗位、职责和权限、6.2质量目标、8.4外部提供过程、产品和服务的控制、8.2产品和服务的要求、8.5.1销售过程控制、8.5.3顾客或外部供方的财产、9.1.2顾客满意、8.5.5交付后的活动</w:t>
            </w:r>
          </w:p>
          <w:p>
            <w:pPr>
              <w:keepNext w:val="0"/>
              <w:keepLines w:val="0"/>
              <w:pageBreakBefore w:val="0"/>
              <w:widowControl w:val="0"/>
              <w:kinsoku/>
              <w:wordWrap/>
              <w:overflowPunct/>
              <w:topLinePunct w:val="0"/>
              <w:autoSpaceDE/>
              <w:autoSpaceDN/>
              <w:bidi w:val="0"/>
              <w:spacing w:line="312" w:lineRule="auto"/>
              <w:rPr>
                <w:rFonts w:ascii="宋体" w:hAnsi="宋体" w:eastAsia="宋体" w:cs="Times New Roman"/>
                <w:b/>
                <w:kern w:val="2"/>
                <w:sz w:val="21"/>
                <w:szCs w:val="21"/>
                <w:lang w:val="en-US" w:eastAsia="zh-CN" w:bidi="ar-SA"/>
              </w:rPr>
            </w:pPr>
            <w:r>
              <w:rPr>
                <w:rFonts w:hint="eastAsia" w:ascii="宋体" w:hAnsi="宋体" w:cs="Arial"/>
                <w:sz w:val="21"/>
                <w:szCs w:val="21"/>
              </w:rPr>
              <w:t>E/O:5.3组织的岗位、职责和权限、6.2环境与职业健康安全目标、6.1.2环境因素/危险源辨识与评价、6.1.4措施的策划、8.1运行策划和控制、8.2应急准备和响应</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8" w:type="dxa"/>
            <w:vMerge w:val="continue"/>
            <w:tcBorders>
              <w:left w:val="single" w:color="auto" w:sz="4" w:space="0"/>
              <w:bottom w:val="single" w:color="auto" w:sz="4" w:space="0"/>
              <w:right w:val="single" w:color="auto" w:sz="4" w:space="0"/>
            </w:tcBorders>
          </w:tcPr>
          <w:p>
            <w:pPr>
              <w:spacing w:line="240" w:lineRule="exact"/>
              <w:rPr>
                <w:rFonts w:ascii="宋体" w:hAnsi="宋体" w:cs="Arial"/>
                <w:sz w:val="21"/>
                <w:szCs w:val="21"/>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default" w:ascii="宋体" w:hAnsi="宋体" w:eastAsia="宋体" w:cs="Arial"/>
                <w:sz w:val="21"/>
                <w:szCs w:val="21"/>
                <w:lang w:val="en-US" w:eastAsia="zh-CN"/>
              </w:rPr>
            </w:pPr>
            <w:r>
              <w:rPr>
                <w:rFonts w:hint="eastAsia" w:ascii="宋体" w:hAnsi="宋体" w:cs="Arial"/>
                <w:sz w:val="21"/>
                <w:szCs w:val="21"/>
                <w:lang w:val="en-US" w:eastAsia="zh-CN"/>
              </w:rPr>
              <w:t>16:00-</w:t>
            </w:r>
            <w:r>
              <w:rPr>
                <w:rFonts w:hint="eastAsia" w:ascii="宋体" w:hAnsi="宋体" w:cs="Arial"/>
                <w:sz w:val="21"/>
                <w:szCs w:val="21"/>
              </w:rPr>
              <w:t>1</w:t>
            </w:r>
            <w:r>
              <w:rPr>
                <w:rFonts w:hint="eastAsia" w:ascii="宋体" w:hAnsi="宋体" w:cs="Arial"/>
                <w:sz w:val="21"/>
                <w:szCs w:val="21"/>
                <w:lang w:val="en-US" w:eastAsia="zh-CN"/>
              </w:rPr>
              <w:t>6</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tc>
        <w:tc>
          <w:tcPr>
            <w:tcW w:w="7238"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宋体" w:hAnsi="宋体" w:cs="Arial"/>
                <w:sz w:val="21"/>
                <w:szCs w:val="21"/>
              </w:rPr>
            </w:pPr>
            <w:r>
              <w:rPr>
                <w:rFonts w:hint="eastAsia" w:ascii="宋体" w:hAnsi="宋体" w:cs="Arial"/>
                <w:b/>
                <w:bCs/>
                <w:sz w:val="21"/>
                <w:szCs w:val="21"/>
              </w:rPr>
              <w:t>末次会</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Arial"/>
                <w:sz w:val="21"/>
                <w:szCs w:val="21"/>
              </w:rPr>
            </w:pPr>
            <w:r>
              <w:rPr>
                <w:rFonts w:hint="eastAsia" w:ascii="宋体" w:hAnsi="宋体" w:cs="Arial"/>
                <w:sz w:val="21"/>
                <w:szCs w:val="21"/>
              </w:rPr>
              <w:t>AB</w:t>
            </w: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14035008"/>
    <w:rsid w:val="4D4507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2122</Words>
  <Characters>2986</Characters>
  <Lines>37</Lines>
  <Paragraphs>10</Paragraphs>
  <TotalTime>6</TotalTime>
  <ScaleCrop>false</ScaleCrop>
  <LinksUpToDate>false</LinksUpToDate>
  <CharactersWithSpaces>3041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lenovo1018</cp:lastModifiedBy>
  <dcterms:modified xsi:type="dcterms:W3CDTF">2022-09-17T07:31:11Z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2052-11.1.0.12358</vt:lpwstr>
  </property>
</Properties>
</file>