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江西讯森智能科技有限公司</w:t>
            </w:r>
            <w:bookmarkEnd w:id="0"/>
            <w:r>
              <w:rPr>
                <w:rFonts w:hint="eastAsia"/>
                <w:color w:val="000000"/>
                <w:sz w:val="24"/>
                <w:szCs w:val="24"/>
              </w:rPr>
              <w:t xml:space="preserve">                 陪同人员：</w:t>
            </w:r>
            <w:r>
              <w:rPr>
                <w:rFonts w:hint="eastAsia"/>
                <w:color w:val="000000"/>
                <w:sz w:val="24"/>
                <w:szCs w:val="24"/>
                <w:lang w:eastAsia="zh-CN"/>
              </w:rPr>
              <w:t>黄云刚</w:t>
            </w:r>
            <w:r>
              <w:rPr>
                <w:rFonts w:hint="eastAsia"/>
                <w:color w:val="000000"/>
                <w:sz w:val="24"/>
                <w:szCs w:val="24"/>
                <w:lang w:val="en-US" w:eastAsia="zh-CN"/>
              </w:rPr>
              <w:t xml:space="preserve"> 吕瑞琪</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eastAsia="zh-CN"/>
              </w:rPr>
              <w:t>褚敏杰</w:t>
            </w:r>
            <w:r>
              <w:rPr>
                <w:rFonts w:hint="eastAsia"/>
                <w:color w:val="000000"/>
                <w:sz w:val="24"/>
                <w:szCs w:val="24"/>
              </w:rPr>
              <w:t xml:space="preserve">           审核时间：</w:t>
            </w:r>
            <w:bookmarkStart w:id="2" w:name="审核日期"/>
            <w:r>
              <w:rPr>
                <w:color w:val="000000"/>
              </w:rPr>
              <w:t>2022年09月13日 上午至2022年09月14日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：91360982MA37W7BW4J </w:t>
            </w:r>
            <w:r>
              <w:rPr>
                <w:rFonts w:hint="eastAsia"/>
                <w:color w:val="000000"/>
                <w:szCs w:val="21"/>
              </w:rPr>
              <w:t>； 有效期：</w:t>
            </w:r>
            <w:r>
              <w:rPr>
                <w:rFonts w:hint="eastAsia"/>
                <w:color w:val="000000"/>
                <w:szCs w:val="21"/>
                <w:lang w:eastAsia="zh-CN"/>
              </w:rPr>
              <w:t>长期</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ind w:firstLine="420" w:firstLineChars="200"/>
              <w:rPr>
                <w:color w:val="000000"/>
                <w:szCs w:val="21"/>
              </w:rPr>
            </w:pPr>
            <w:r>
              <w:rPr>
                <w:rFonts w:hint="eastAsia"/>
                <w:color w:val="000000"/>
                <w:szCs w:val="21"/>
              </w:rPr>
              <w:t>密集架、书架、货架（含智能产品）及各类金属加工；智能密集架控制系统、计算机软硬件、电子产品五金件、塑料件制品研发；警用器材制造；全自动选层档案保管柜、智能全自动枪支弹药保管柜研发；公安刑事物管、案管、执法管理系统研发；恒温恒湿系统、环境监测系统、智能家居系统、工业智能机器人系统、智慧档案馆（库）系统、智慧图书馆（库）系统、智能存放架系统、智能防磁柜及系统研发、销售、安装及售后服务。(依法须经批准的项目,经相关部门批准后方可开展经营活动)；</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color w:val="000000"/>
                <w:szCs w:val="21"/>
              </w:rPr>
            </w:pPr>
            <w:r>
              <w:rPr>
                <w:rFonts w:hint="eastAsia"/>
                <w:color w:val="000000"/>
                <w:szCs w:val="21"/>
              </w:rPr>
              <w:t>Q：智慧图书馆（库）/智慧档案馆（库）系统、智能书架/智能密集架及控制系统、恒温恒湿及环境监测系统的研发和销售</w:t>
            </w:r>
          </w:p>
          <w:p>
            <w:pPr>
              <w:spacing w:line="440" w:lineRule="exact"/>
              <w:ind w:firstLine="420" w:firstLineChars="200"/>
              <w:rPr>
                <w:rFonts w:hint="eastAsia"/>
                <w:color w:val="000000"/>
                <w:szCs w:val="21"/>
              </w:rPr>
            </w:pPr>
            <w:r>
              <w:rPr>
                <w:rFonts w:hint="eastAsia"/>
                <w:color w:val="000000"/>
                <w:szCs w:val="21"/>
              </w:rPr>
              <w:t>E：智慧图书馆（库）/智慧档案馆（库）系统、智能书架/智能密集架及控制系统、恒温恒湿及环境监测系统的研发和销售所涉及场所的相关环境管理活动</w:t>
            </w:r>
          </w:p>
          <w:p>
            <w:pPr>
              <w:spacing w:line="440" w:lineRule="exact"/>
              <w:ind w:firstLine="420" w:firstLineChars="200"/>
              <w:rPr>
                <w:color w:val="000000"/>
              </w:rPr>
            </w:pPr>
            <w:r>
              <w:rPr>
                <w:rFonts w:hint="eastAsia"/>
                <w:color w:val="000000"/>
                <w:szCs w:val="21"/>
              </w:rPr>
              <w:t>O：智慧图书馆（库）/智慧档案馆（库）系统、智能书架/智能密集架及控制系统、恒温恒湿及环境监测系统的研发和销售所涉及场所的相关职业健康安全管理活动；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注册地址：江西省宜春市樟树市四特大道盛世壹品小区一栋一单元201号商铺</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经营地址：江西省宜春市樟树市四特大道盛世壹品小区一栋一单元201号商铺</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ascii="Times New Roman" w:hAnsi="Times New Roman" w:cs="Times New Roman"/>
                <w:color w:val="000000"/>
                <w:szCs w:val="18"/>
                <w:lang w:eastAsia="zh-CN"/>
              </w:rPr>
            </w:pPr>
            <w:r>
              <w:rPr>
                <w:rFonts w:hint="eastAsia" w:cs="Times New Roman"/>
                <w:color w:val="000000"/>
                <w:szCs w:val="18"/>
                <w:lang w:eastAsia="zh-CN"/>
              </w:rPr>
              <w:t>系统</w:t>
            </w:r>
            <w:r>
              <w:rPr>
                <w:rFonts w:hint="eastAsia" w:ascii="Times New Roman" w:hAnsi="Times New Roman" w:cs="Times New Roman"/>
                <w:color w:val="000000"/>
                <w:szCs w:val="18"/>
                <w:lang w:eastAsia="zh-CN"/>
              </w:rPr>
              <w:t>研发：</w:t>
            </w:r>
          </w:p>
          <w:p>
            <w:pPr>
              <w:rPr>
                <w:rFonts w:hint="eastAsia" w:eastAsia="宋体"/>
                <w:color w:val="000000"/>
                <w:szCs w:val="18"/>
                <w:lang w:eastAsia="zh-CN"/>
              </w:rPr>
            </w:pPr>
            <w:r>
              <w:rPr>
                <w:rFonts w:hint="eastAsia" w:ascii="Times New Roman" w:hAnsi="Times New Roman" w:cs="Times New Roman"/>
                <w:color w:val="000000"/>
                <w:szCs w:val="18"/>
                <w:lang w:eastAsia="zh-CN"/>
              </w:rPr>
              <w:t>系统分析——概要设计——详细设计——编码——测试——交</w:t>
            </w:r>
            <w:r>
              <w:rPr>
                <w:rFonts w:hint="eastAsia"/>
                <w:color w:val="000000"/>
                <w:szCs w:val="18"/>
                <w:lang w:eastAsia="zh-CN"/>
              </w:rPr>
              <w:t>付验收</w:t>
            </w:r>
          </w:p>
          <w:p>
            <w:pPr>
              <w:rPr>
                <w:rFonts w:hint="eastAsia"/>
                <w:color w:val="000000"/>
                <w:szCs w:val="18"/>
                <w:lang w:eastAsia="zh-CN"/>
              </w:rPr>
            </w:pPr>
            <w:r>
              <w:rPr>
                <w:rFonts w:hint="eastAsia"/>
                <w:color w:val="000000"/>
                <w:szCs w:val="18"/>
                <w:lang w:eastAsia="zh-CN"/>
              </w:rPr>
              <w:t>销售：</w:t>
            </w:r>
          </w:p>
          <w:p>
            <w:pPr>
              <w:rPr>
                <w:color w:val="000000"/>
              </w:rPr>
            </w:pPr>
            <w:r>
              <w:rPr>
                <w:rFonts w:hint="eastAsia"/>
                <w:color w:val="000000"/>
                <w:szCs w:val="18"/>
                <w:lang w:eastAsia="zh-CN"/>
              </w:rPr>
              <w:t>产品要求信息获取----产品要求评审-----签订合同----采购 -----质检------交付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8</w:t>
            </w:r>
            <w:r>
              <w:rPr>
                <w:rFonts w:hint="eastAsia"/>
                <w:color w:val="000000"/>
                <w:szCs w:val="21"/>
              </w:rPr>
              <w:t>人</w:t>
            </w:r>
            <w:r>
              <w:rPr>
                <w:rFonts w:hint="eastAsia"/>
                <w:color w:val="000000"/>
                <w:szCs w:val="18"/>
              </w:rPr>
              <w:t>；操作人员</w:t>
            </w:r>
            <w:r>
              <w:rPr>
                <w:rFonts w:hint="eastAsia"/>
                <w:color w:val="000000"/>
                <w:szCs w:val="18"/>
                <w:lang w:val="en-US" w:eastAsia="zh-CN"/>
              </w:rPr>
              <w:t>7</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管理手册发布的时间：2022年04月10日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4</w:t>
            </w:r>
            <w:r>
              <w:rPr>
                <w:rFonts w:hint="eastAsia"/>
                <w:color w:val="000000"/>
                <w:szCs w:val="18"/>
              </w:rPr>
              <w:t>月</w:t>
            </w:r>
            <w:r>
              <w:rPr>
                <w:rFonts w:hint="eastAsia"/>
                <w:color w:val="000000"/>
                <w:szCs w:val="18"/>
                <w:lang w:val="en-US" w:eastAsia="zh-CN"/>
              </w:rPr>
              <w:t>25</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sym w:font="Wingdings" w:char="00FE"/>
            </w:r>
            <w:r>
              <w:rPr>
                <w:rFonts w:hint="eastAsia" w:ascii="Times New Roman" w:hAnsi="Times New Roman" w:cs="Times New Roman"/>
                <w:color w:val="000000"/>
              </w:rPr>
              <w:t xml:space="preserve">已收集到以往的不符合项 </w:t>
            </w:r>
            <w:r>
              <w:rPr>
                <w:rFonts w:hint="eastAsia"/>
                <w:color w:val="000000"/>
              </w:rPr>
              <w:t xml:space="preserve">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color w:val="000000"/>
                <w:szCs w:val="18"/>
              </w:rPr>
              <w:t xml:space="preserve">质量至上、持续创新、诚实守信、顾客至上 </w:t>
            </w:r>
          </w:p>
          <w:p>
            <w:pPr>
              <w:widowControl/>
              <w:spacing w:before="40"/>
              <w:jc w:val="left"/>
              <w:rPr>
                <w:rFonts w:hint="eastAsia"/>
                <w:color w:val="000000"/>
                <w:szCs w:val="18"/>
              </w:rPr>
            </w:pPr>
            <w:r>
              <w:rPr>
                <w:rFonts w:hint="eastAsia"/>
                <w:color w:val="000000"/>
                <w:szCs w:val="18"/>
              </w:rPr>
              <w:t>预防为主，降低风险；遵章守法，创造和谐</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764"/>
              <w:gridCol w:w="459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18"/>
                    </w:rPr>
                  </w:pPr>
                  <w:r>
                    <w:rPr>
                      <w:rFonts w:hint="eastAsia"/>
                      <w:color w:val="000000"/>
                      <w:szCs w:val="18"/>
                    </w:rPr>
                    <w:t>目标</w:t>
                  </w:r>
                </w:p>
              </w:tc>
              <w:tc>
                <w:tcPr>
                  <w:tcW w:w="764" w:type="dxa"/>
                </w:tcPr>
                <w:p>
                  <w:pPr>
                    <w:widowControl/>
                    <w:spacing w:before="40"/>
                    <w:jc w:val="left"/>
                    <w:rPr>
                      <w:color w:val="000000"/>
                      <w:szCs w:val="18"/>
                    </w:rPr>
                  </w:pPr>
                  <w:r>
                    <w:rPr>
                      <w:rFonts w:hint="eastAsia"/>
                      <w:color w:val="000000"/>
                      <w:szCs w:val="18"/>
                    </w:rPr>
                    <w:t>考核频次</w:t>
                  </w:r>
                </w:p>
              </w:tc>
              <w:tc>
                <w:tcPr>
                  <w:tcW w:w="4596" w:type="dxa"/>
                </w:tcPr>
                <w:p>
                  <w:pPr>
                    <w:widowControl/>
                    <w:spacing w:before="40"/>
                    <w:jc w:val="left"/>
                    <w:rPr>
                      <w:color w:val="000000"/>
                      <w:szCs w:val="18"/>
                    </w:rPr>
                  </w:pPr>
                  <w:r>
                    <w:rPr>
                      <w:rFonts w:hint="eastAsia"/>
                      <w:color w:val="000000"/>
                      <w:szCs w:val="18"/>
                    </w:rPr>
                    <w:t>计算方法</w:t>
                  </w:r>
                </w:p>
              </w:tc>
              <w:tc>
                <w:tcPr>
                  <w:tcW w:w="1447"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18"/>
                      <w:highlight w:val="cyan"/>
                    </w:rPr>
                  </w:pPr>
                  <w:r>
                    <w:rPr>
                      <w:rFonts w:hint="eastAsia"/>
                      <w:color w:val="000000"/>
                      <w:szCs w:val="18"/>
                      <w:highlight w:val="cyan"/>
                    </w:rPr>
                    <w:t>顾客满意度≥96%以上；</w:t>
                  </w:r>
                </w:p>
              </w:tc>
              <w:tc>
                <w:tcPr>
                  <w:tcW w:w="764"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4596" w:type="dxa"/>
                </w:tcPr>
                <w:p>
                  <w:pPr>
                    <w:widowControl/>
                    <w:spacing w:before="40"/>
                    <w:jc w:val="left"/>
                    <w:rPr>
                      <w:color w:val="000000"/>
                      <w:szCs w:val="18"/>
                      <w:highlight w:val="cyan"/>
                    </w:rPr>
                  </w:pPr>
                  <w:r>
                    <w:rPr>
                      <w:rFonts w:hint="eastAsia"/>
                      <w:color w:val="000000"/>
                      <w:szCs w:val="18"/>
                      <w:highlight w:val="cyan"/>
                    </w:rPr>
                    <w:t>调查单位中满意总分数÷调查单位数×100%</w:t>
                  </w:r>
                </w:p>
              </w:tc>
              <w:tc>
                <w:tcPr>
                  <w:tcW w:w="144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18"/>
                      <w:highlight w:val="cyan"/>
                    </w:rPr>
                  </w:pPr>
                  <w:r>
                    <w:rPr>
                      <w:rFonts w:hint="eastAsia"/>
                      <w:color w:val="000000"/>
                      <w:szCs w:val="18"/>
                      <w:highlight w:val="cyan"/>
                    </w:rPr>
                    <w:t>顾客反馈及时处理率≧95%；</w:t>
                  </w:r>
                </w:p>
              </w:tc>
              <w:tc>
                <w:tcPr>
                  <w:tcW w:w="764" w:type="dxa"/>
                </w:tcPr>
                <w:p>
                  <w:pPr>
                    <w:widowControl/>
                    <w:spacing w:before="40"/>
                    <w:jc w:val="left"/>
                    <w:rPr>
                      <w:color w:val="000000"/>
                      <w:szCs w:val="18"/>
                      <w:highlight w:val="cyan"/>
                    </w:rPr>
                  </w:pPr>
                  <w:r>
                    <w:rPr>
                      <w:rFonts w:hint="eastAsia"/>
                      <w:color w:val="000000"/>
                      <w:szCs w:val="18"/>
                      <w:highlight w:val="cyan"/>
                      <w:lang w:eastAsia="zh-CN"/>
                    </w:rPr>
                    <w:t>季度</w:t>
                  </w:r>
                </w:p>
              </w:tc>
              <w:tc>
                <w:tcPr>
                  <w:tcW w:w="4596" w:type="dxa"/>
                </w:tcPr>
                <w:p>
                  <w:pPr>
                    <w:widowControl/>
                    <w:spacing w:before="40"/>
                    <w:jc w:val="left"/>
                    <w:rPr>
                      <w:color w:val="000000"/>
                      <w:szCs w:val="18"/>
                      <w:highlight w:val="cyan"/>
                    </w:rPr>
                  </w:pPr>
                  <w:r>
                    <w:rPr>
                      <w:rFonts w:hint="eastAsia"/>
                      <w:color w:val="000000"/>
                      <w:szCs w:val="18"/>
                      <w:highlight w:val="cyan"/>
                    </w:rPr>
                    <w:t>在标准时间内反馈客户意见的次数/总共需要反馈的次数*100%</w:t>
                  </w:r>
                </w:p>
              </w:tc>
              <w:tc>
                <w:tcPr>
                  <w:tcW w:w="1447" w:type="dxa"/>
                </w:tcPr>
                <w:p>
                  <w:pPr>
                    <w:widowControl/>
                    <w:spacing w:before="40"/>
                    <w:jc w:val="left"/>
                    <w:rPr>
                      <w:color w:val="000000"/>
                      <w:szCs w:val="18"/>
                      <w:highlight w:val="cyan"/>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技术最终成果优良率≧90%</w:t>
                  </w:r>
                </w:p>
              </w:tc>
              <w:tc>
                <w:tcPr>
                  <w:tcW w:w="764" w:type="dxa"/>
                </w:tcPr>
                <w:p>
                  <w:pPr>
                    <w:widowControl/>
                    <w:spacing w:before="40"/>
                    <w:jc w:val="left"/>
                    <w:rPr>
                      <w:color w:val="000000"/>
                      <w:szCs w:val="18"/>
                      <w:highlight w:val="cyan"/>
                    </w:rPr>
                  </w:pPr>
                  <w:r>
                    <w:rPr>
                      <w:rFonts w:hint="eastAsia"/>
                      <w:color w:val="000000"/>
                      <w:szCs w:val="18"/>
                      <w:highlight w:val="cyan"/>
                      <w:lang w:eastAsia="zh-CN"/>
                    </w:rPr>
                    <w:t>季度</w:t>
                  </w:r>
                </w:p>
              </w:tc>
              <w:tc>
                <w:tcPr>
                  <w:tcW w:w="4596" w:type="dxa"/>
                </w:tcPr>
                <w:p>
                  <w:pPr>
                    <w:widowControl/>
                    <w:spacing w:before="40"/>
                    <w:jc w:val="left"/>
                    <w:rPr>
                      <w:color w:val="000000"/>
                      <w:szCs w:val="18"/>
                      <w:highlight w:val="cyan"/>
                    </w:rPr>
                  </w:pPr>
                  <w:r>
                    <w:rPr>
                      <w:rFonts w:hint="eastAsia"/>
                      <w:color w:val="000000"/>
                      <w:szCs w:val="18"/>
                      <w:highlight w:val="cyan"/>
                    </w:rPr>
                    <w:t>技术最终成果优良数/研发成果总数</w:t>
                  </w:r>
                </w:p>
              </w:tc>
              <w:tc>
                <w:tcPr>
                  <w:tcW w:w="1447" w:type="dxa"/>
                </w:tcPr>
                <w:p>
                  <w:pPr>
                    <w:widowControl/>
                    <w:spacing w:before="40"/>
                    <w:jc w:val="left"/>
                    <w:rPr>
                      <w:color w:val="000000"/>
                      <w:szCs w:val="18"/>
                      <w:highlight w:val="cyan"/>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固体废弃物分类处理100%；</w:t>
                  </w:r>
                </w:p>
              </w:tc>
              <w:tc>
                <w:tcPr>
                  <w:tcW w:w="764" w:type="dxa"/>
                </w:tcPr>
                <w:p>
                  <w:pPr>
                    <w:widowControl/>
                    <w:spacing w:before="40"/>
                    <w:jc w:val="left"/>
                    <w:rPr>
                      <w:color w:val="000000"/>
                      <w:szCs w:val="18"/>
                      <w:highlight w:val="cyan"/>
                    </w:rPr>
                  </w:pPr>
                  <w:r>
                    <w:rPr>
                      <w:rFonts w:hint="eastAsia"/>
                      <w:color w:val="000000"/>
                      <w:szCs w:val="18"/>
                      <w:highlight w:val="cyan"/>
                      <w:lang w:eastAsia="zh-CN"/>
                    </w:rPr>
                    <w:t>季度</w:t>
                  </w:r>
                </w:p>
              </w:tc>
              <w:tc>
                <w:tcPr>
                  <w:tcW w:w="4596"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考核结果统计</w:t>
                  </w:r>
                </w:p>
              </w:tc>
              <w:tc>
                <w:tcPr>
                  <w:tcW w:w="1447" w:type="dxa"/>
                </w:tcPr>
                <w:p>
                  <w:pPr>
                    <w:widowControl/>
                    <w:spacing w:before="40"/>
                    <w:jc w:val="left"/>
                    <w:rPr>
                      <w:color w:val="000000"/>
                      <w:szCs w:val="18"/>
                      <w:highlight w:val="cyan"/>
                    </w:rPr>
                  </w:pPr>
                  <w:r>
                    <w:rPr>
                      <w:rFonts w:hint="eastAsia"/>
                      <w:color w:val="000000"/>
                      <w:szCs w:val="18"/>
                      <w:highlight w:val="cyan"/>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rPr>
                    <w:t>潜在火灾发生概率为0；</w:t>
                  </w:r>
                </w:p>
              </w:tc>
              <w:tc>
                <w:tcPr>
                  <w:tcW w:w="764" w:type="dxa"/>
                </w:tcPr>
                <w:p>
                  <w:pPr>
                    <w:widowControl/>
                    <w:spacing w:before="40"/>
                    <w:jc w:val="left"/>
                    <w:rPr>
                      <w:color w:val="000000"/>
                      <w:szCs w:val="18"/>
                      <w:highlight w:val="cyan"/>
                    </w:rPr>
                  </w:pPr>
                  <w:r>
                    <w:rPr>
                      <w:rFonts w:hint="eastAsia"/>
                      <w:color w:val="000000"/>
                      <w:szCs w:val="18"/>
                      <w:highlight w:val="cyan"/>
                      <w:lang w:eastAsia="zh-CN"/>
                    </w:rPr>
                    <w:t>季度</w:t>
                  </w:r>
                </w:p>
              </w:tc>
              <w:tc>
                <w:tcPr>
                  <w:tcW w:w="4596" w:type="dxa"/>
                </w:tcPr>
                <w:p>
                  <w:pPr>
                    <w:widowControl/>
                    <w:spacing w:before="40"/>
                    <w:jc w:val="left"/>
                    <w:rPr>
                      <w:color w:val="000000"/>
                      <w:szCs w:val="18"/>
                      <w:highlight w:val="cyan"/>
                    </w:rPr>
                  </w:pPr>
                </w:p>
              </w:tc>
              <w:tc>
                <w:tcPr>
                  <w:tcW w:w="1447" w:type="dxa"/>
                </w:tcPr>
                <w:p>
                  <w:pPr>
                    <w:widowControl/>
                    <w:spacing w:before="40"/>
                    <w:jc w:val="left"/>
                    <w:rPr>
                      <w:color w:val="000000"/>
                      <w:szCs w:val="18"/>
                      <w:highlight w:val="cyan"/>
                    </w:rPr>
                  </w:pPr>
                  <w:r>
                    <w:rPr>
                      <w:rFonts w:hint="eastAsia"/>
                      <w:color w:val="000000"/>
                      <w:szCs w:val="18"/>
                      <w:highlight w:val="cyan"/>
                      <w:lang w:eastAsia="zh-CN"/>
                    </w:rPr>
                    <w:t>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1</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bookmarkStart w:id="3" w:name="_GoBack"/>
            <w:r>
              <w:rPr>
                <w:rFonts w:hint="eastAsia"/>
                <w:color w:val="000000"/>
                <w:szCs w:val="18"/>
              </w:rPr>
              <w:t>2022年7月15-16日</w:t>
            </w:r>
            <w:bookmarkEnd w:id="3"/>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自管理体系建立后，于2022年7月22日实施了管理评审；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eastAsia="zh-CN"/>
              </w:rPr>
              <w:t>编码、销售</w:t>
            </w:r>
            <w:r>
              <w:rPr>
                <w:rFonts w:hint="eastAsia"/>
                <w:color w:val="000000"/>
                <w:u w:val="single"/>
              </w:rPr>
              <w:t>；</w:t>
            </w:r>
            <w:r>
              <w:rPr>
                <w:rFonts w:hint="eastAsia"/>
                <w:color w:val="000000"/>
              </w:rPr>
              <w:t>相关控制参数名称：</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lang w:eastAsia="zh-CN"/>
              </w:rPr>
              <w:t>编码、销售</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人员技能、□设备能力、□原料控制、□工艺方法、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 xml:space="preserve">客户要求、□国际标准、□国家标准、□行业标准、□地方标准、□企业标准、□企业技术规范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u w:val="single"/>
                <w:lang w:eastAsia="zh-CN"/>
              </w:rPr>
              <w:t>电脑、服务器、软件开发工具、打印机等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u w:val="single"/>
                <w:lang w:eastAsia="zh-CN"/>
              </w:rPr>
              <w:t>钢卷尺、万用表</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sym w:font="Wingdings" w:char="00FE"/>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sym w:font="Wingdings" w:char="00FE"/>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16E86CB4"/>
    <w:rsid w:val="19BE5C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6905</Words>
  <Characters>7119</Characters>
  <Lines>92</Lines>
  <Paragraphs>26</Paragraphs>
  <TotalTime>2</TotalTime>
  <ScaleCrop>false</ScaleCrop>
  <LinksUpToDate>false</LinksUpToDate>
  <CharactersWithSpaces>8399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2022-09-15T03:04:01Z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