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0598-2022-EnMS</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张家港保税区长江国际港务有限公司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能源管理体系（EnMS）</w:t>
      </w:r>
    </w:p>
    <w:p>
      <w:pPr>
        <w:jc w:val="left"/>
        <w:rPr>
          <w:sz w:val="28"/>
          <w:szCs w:val="28"/>
        </w:rPr>
      </w:pPr>
    </w:p>
    <w:p>
      <w:pPr>
        <w:pStyle w:val="13"/>
      </w:pPr>
    </w:p>
    <w:p>
      <w:pPr>
        <w:pStyle w:val="13"/>
      </w:pPr>
    </w:p>
    <w:p>
      <w:pPr>
        <w:pStyle w:val="13"/>
      </w:pPr>
    </w:p>
    <w:p>
      <w:pPr>
        <w:pStyle w:val="13"/>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center"/>
          </w:tcPr>
          <w:p>
            <w:pPr>
              <w:jc w:val="left"/>
            </w:pPr>
            <w:bookmarkStart w:id="5" w:name="组织名称Add1"/>
            <w:r>
              <w:t>张家港保税区长江国际港务有限公司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张家港保税物流园区内</w:t>
            </w:r>
            <w:bookmarkEnd w:id="6"/>
          </w:p>
        </w:tc>
        <w:tc>
          <w:tcPr>
            <w:tcW w:w="1242" w:type="dxa"/>
            <w:vMerge w:val="restart"/>
            <w:vAlign w:val="center"/>
          </w:tcPr>
          <w:p>
            <w:r>
              <w:rPr>
                <w:rFonts w:hint="eastAsia"/>
              </w:rPr>
              <w:t>邮编</w:t>
            </w:r>
          </w:p>
        </w:tc>
        <w:tc>
          <w:tcPr>
            <w:tcW w:w="1771" w:type="dxa"/>
          </w:tcPr>
          <w:p>
            <w:bookmarkStart w:id="7" w:name="注册邮编"/>
            <w:r>
              <w:t>215634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rPr>
                <w:rFonts w:hint="eastAsia" w:ascii="宋体" w:hAnsi="宋体" w:cs="宋体"/>
                <w:color w:val="000000"/>
                <w:kern w:val="0"/>
                <w:szCs w:val="21"/>
              </w:rPr>
              <w:t>苏州港张家港港区化学工业园作业区张家港长江国际化工码头1#（含3#）、2#泊位、内河泊位；1-9号罐区</w:t>
            </w:r>
            <w:bookmarkEnd w:id="8"/>
          </w:p>
        </w:tc>
        <w:tc>
          <w:tcPr>
            <w:tcW w:w="1242" w:type="dxa"/>
            <w:vMerge w:val="continue"/>
            <w:vAlign w:val="center"/>
          </w:tcPr>
          <w:p/>
        </w:tc>
        <w:tc>
          <w:tcPr>
            <w:tcW w:w="1771" w:type="dxa"/>
          </w:tcPr>
          <w:p>
            <w:bookmarkStart w:id="9" w:name="办公邮编"/>
            <w:r>
              <w:t>215634</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徐惠</w:t>
            </w:r>
            <w:bookmarkEnd w:id="10"/>
          </w:p>
        </w:tc>
        <w:tc>
          <w:tcPr>
            <w:tcW w:w="1313" w:type="dxa"/>
            <w:vAlign w:val="center"/>
          </w:tcPr>
          <w:p>
            <w:r>
              <w:rPr>
                <w:rFonts w:hint="eastAsia"/>
              </w:rPr>
              <w:t>电话.</w:t>
            </w:r>
          </w:p>
        </w:tc>
        <w:tc>
          <w:tcPr>
            <w:tcW w:w="2180" w:type="dxa"/>
            <w:vAlign w:val="center"/>
          </w:tcPr>
          <w:p>
            <w:bookmarkStart w:id="11" w:name="联系人电话"/>
            <w:r>
              <w:t>13962450258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唐勇</w:t>
            </w:r>
            <w:bookmarkEnd w:id="13"/>
          </w:p>
        </w:tc>
        <w:tc>
          <w:tcPr>
            <w:tcW w:w="1313" w:type="dxa"/>
            <w:vAlign w:val="center"/>
          </w:tcPr>
          <w:p>
            <w:r>
              <w:rPr>
                <w:rFonts w:hint="eastAsia"/>
              </w:rPr>
              <w:t>管理者代表</w:t>
            </w:r>
          </w:p>
        </w:tc>
        <w:tc>
          <w:tcPr>
            <w:tcW w:w="2180" w:type="dxa"/>
          </w:tcPr>
          <w:p>
            <w:bookmarkStart w:id="14" w:name="管理者代表"/>
            <w:r>
              <w:t>黄文伟</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多班次说明</w:t>
            </w:r>
          </w:p>
        </w:tc>
        <w:tc>
          <w:tcPr>
            <w:tcW w:w="8058" w:type="dxa"/>
            <w:gridSpan w:val="5"/>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受审核组织的班次：□单班</w:t>
            </w:r>
            <w:r>
              <w:rPr>
                <w:rFonts w:hint="eastAsia" w:ascii="Times New Roman" w:hAnsi="Times New Roman" w:eastAsia="宋体" w:cs="Times New Roman"/>
                <w:lang w:eastAsia="zh-CN"/>
              </w:rPr>
              <w:t>☑</w:t>
            </w:r>
            <w:r>
              <w:rPr>
                <w:rFonts w:hint="eastAsia" w:ascii="Times New Roman" w:hAnsi="Times New Roman" w:eastAsia="宋体" w:cs="Times New Roman"/>
              </w:rPr>
              <w:t>双班□三班□其他</w:t>
            </w:r>
          </w:p>
          <w:p>
            <w:pPr>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白班8：00-20：00、夜班20：00-8：00</w:t>
            </w:r>
            <w:r>
              <w:rPr>
                <w:rFonts w:hint="eastAsia"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114300" distR="114300">
                  <wp:extent cx="4959350" cy="4606290"/>
                  <wp:effectExtent l="0" t="0" r="6350" b="381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4959350" cy="4606290"/>
                          </a:xfrm>
                          <a:prstGeom prst="rect">
                            <a:avLst/>
                          </a:prstGeom>
                          <a:noFill/>
                          <a:ln>
                            <a:noFill/>
                          </a:ln>
                        </pic:spPr>
                      </pic:pic>
                    </a:graphicData>
                  </a:graphic>
                </wp:inline>
              </w:drawing>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2"/>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审核日期</w:t>
            </w:r>
          </w:p>
        </w:tc>
        <w:tc>
          <w:tcPr>
            <w:tcW w:w="7831" w:type="dxa"/>
            <w:gridSpan w:val="3"/>
            <w:tcMar>
              <w:left w:w="113" w:type="dxa"/>
            </w:tcMar>
          </w:tcPr>
          <w:p>
            <w:bookmarkStart w:id="15" w:name="审核日期"/>
            <w:r>
              <w:rPr>
                <w:rFonts w:hint="eastAsia"/>
              </w:rPr>
              <w:t>2022年09月1</w:t>
            </w:r>
            <w:r>
              <w:rPr>
                <w:rFonts w:hint="eastAsia"/>
                <w:lang w:val="en-US" w:eastAsia="zh-CN"/>
              </w:rPr>
              <w:t>1</w:t>
            </w:r>
            <w:r>
              <w:rPr>
                <w:rFonts w:hint="eastAsia"/>
              </w:rPr>
              <w:t>日 下午至2022年09月</w:t>
            </w:r>
            <w:r>
              <w:rPr>
                <w:rFonts w:hint="eastAsia"/>
                <w:lang w:val="en-US" w:eastAsia="zh-CN"/>
              </w:rPr>
              <w:t>13</w:t>
            </w:r>
            <w:r>
              <w:rPr>
                <w:rFonts w:hint="eastAsia"/>
              </w:rPr>
              <w:t>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eastAsia="zh-CN"/>
              </w:rPr>
              <w:t>☑</w:t>
            </w:r>
            <w:r>
              <w:rPr>
                <w:rFonts w:hint="eastAsia"/>
              </w:rPr>
              <w:t>GB/T 23331-2020/</w:t>
            </w:r>
            <w:r>
              <w:rPr>
                <w:rFonts w:hint="eastAsia"/>
                <w:lang w:val="de-DE"/>
              </w:rPr>
              <w:t>ISO50001：2018标准</w:t>
            </w:r>
          </w:p>
          <w:p>
            <w:r>
              <w:rPr>
                <w:rFonts w:hint="eastAsia"/>
                <w:lang w:val="de-DE"/>
              </w:rPr>
              <w:t xml:space="preserve">□RB/T       </w:t>
            </w:r>
            <w:r>
              <w:rPr>
                <w:rFonts w:hint="eastAsia"/>
              </w:rPr>
              <w:t>(</w:t>
            </w:r>
            <w:r>
              <w:rPr>
                <w:rFonts w:hint="eastAsia"/>
                <w:lang w:val="de-DE"/>
              </w:rPr>
              <w:t>行业认证标准</w:t>
            </w:r>
            <w:r>
              <w:rPr>
                <w:rFonts w:hint="eastAsia"/>
              </w:rPr>
              <w:t>)</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现场审核：</w:t>
            </w:r>
            <w:r>
              <w:rPr>
                <w:rFonts w:hint="eastAsia" w:ascii="宋体" w:hAnsi="宋体" w:cs="宋体"/>
                <w:color w:val="000000"/>
                <w:kern w:val="0"/>
                <w:szCs w:val="21"/>
              </w:rPr>
              <w:t>张家港保税物流园区内</w:t>
            </w:r>
            <w:r>
              <w:rPr>
                <w:rFonts w:hint="eastAsia" w:ascii="宋体" w:hAnsi="宋体" w:cs="宋体"/>
                <w:color w:val="000000"/>
                <w:kern w:val="0"/>
                <w:szCs w:val="21"/>
                <w:lang w:val="en-US" w:eastAsia="zh-CN"/>
              </w:rPr>
              <w:t>-张家港保税区长江港务有限公司内（周涛）</w:t>
            </w:r>
          </w:p>
          <w:p>
            <w:pPr>
              <w:rPr>
                <w:rFonts w:ascii="宋体"/>
                <w:b/>
                <w:color w:val="0000FF"/>
                <w:szCs w:val="21"/>
              </w:rPr>
            </w:pPr>
            <w:r>
              <w:rPr>
                <w:rFonts w:hint="eastAsia" w:ascii="宋体"/>
                <w:b/>
                <w:color w:val="0000FF"/>
                <w:szCs w:val="21"/>
                <w:lang w:val="en-US" w:eastAsia="zh-CN"/>
              </w:rPr>
              <w:t>远程审核：河北省石家庄市（李丽英）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w:t>
            </w:r>
            <w:r>
              <w:rPr>
                <w:rFonts w:hint="eastAsia" w:ascii="宋体"/>
                <w:b/>
                <w:color w:val="0000FF"/>
                <w:szCs w:val="21"/>
                <w:lang w:eastAsia="zh-CN"/>
              </w:rPr>
              <w:t>☑</w:t>
            </w:r>
            <w:r>
              <w:rPr>
                <w:rFonts w:hint="eastAsia" w:ascii="宋体"/>
                <w:b/>
                <w:color w:val="0000FF"/>
                <w:szCs w:val="21"/>
              </w:rPr>
              <w:t>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32" w:type="dxa"/>
            <w:vMerge w:val="restart"/>
            <w:vAlign w:val="center"/>
          </w:tcPr>
          <w:p>
            <w:r>
              <w:rPr>
                <w:rFonts w:hint="eastAsia"/>
              </w:rPr>
              <w:t>审核范围</w:t>
            </w:r>
          </w:p>
          <w:p/>
        </w:tc>
        <w:tc>
          <w:tcPr>
            <w:tcW w:w="4616" w:type="dxa"/>
            <w:gridSpan w:val="2"/>
            <w:vMerge w:val="restart"/>
            <w:vAlign w:val="center"/>
          </w:tcPr>
          <w:p>
            <w:bookmarkStart w:id="29" w:name="审核范围"/>
            <w:r>
              <w:t>资质范围内液体散装化工品（危险化学品</w:t>
            </w:r>
            <w:r>
              <w:rPr>
                <w:rFonts w:hint="eastAsia"/>
                <w:color w:val="0000FF"/>
                <w:lang w:val="en-US" w:eastAsia="zh-CN"/>
              </w:rPr>
              <w:t>经营</w:t>
            </w:r>
            <w:r>
              <w:t>除外）的仓储服务(包括接卸、保管、发货) 所涉及的能源管理活动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32" w:type="dxa"/>
            <w:vMerge w:val="continue"/>
            <w:vAlign w:val="center"/>
          </w:tcPr>
          <w:p/>
        </w:tc>
        <w:tc>
          <w:tcPr>
            <w:tcW w:w="4616" w:type="dxa"/>
            <w:gridSpan w:val="2"/>
            <w:vMerge w:val="continue"/>
            <w:vAlign w:val="center"/>
          </w:tcPr>
          <w:p/>
        </w:tc>
        <w:tc>
          <w:tcPr>
            <w:tcW w:w="3215" w:type="dxa"/>
            <w:vAlign w:val="center"/>
          </w:tcPr>
          <w:p>
            <w:bookmarkStart w:id="30" w:name="专业代码"/>
            <w:r>
              <w:t>2.10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体系文件实施时间</w:t>
            </w:r>
          </w:p>
        </w:tc>
        <w:tc>
          <w:tcPr>
            <w:tcW w:w="2733" w:type="dxa"/>
            <w:vAlign w:val="center"/>
          </w:tcPr>
          <w:p>
            <w:pPr>
              <w:jc w:val="both"/>
            </w:pP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tc>
        <w:tc>
          <w:tcPr>
            <w:tcW w:w="1883" w:type="dxa"/>
            <w:vAlign w:val="center"/>
          </w:tcPr>
          <w:p>
            <w:r>
              <w:rPr>
                <w:rFonts w:hint="eastAsia"/>
                <w:b/>
                <w:bCs/>
              </w:rPr>
              <w:t>能源管理体系运行已超过6个月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618"/>
        <w:gridCol w:w="2316"/>
        <w:gridCol w:w="11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618"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316"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11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618" w:type="dxa"/>
          </w:tcPr>
          <w:p>
            <w:pPr>
              <w:spacing w:before="40" w:after="40"/>
              <w:rPr>
                <w:rFonts w:hint="eastAsia" w:eastAsia="宋体"/>
                <w:szCs w:val="21"/>
                <w:lang w:val="en-US" w:eastAsia="zh-CN"/>
              </w:rPr>
            </w:pPr>
            <w:r>
              <w:rPr>
                <w:rFonts w:ascii="宋体"/>
                <w:b/>
                <w:color w:val="000000"/>
                <w:szCs w:val="21"/>
              </w:rPr>
              <w:t>张家港保税区长江国际港务有限公司</w:t>
            </w:r>
            <w:r>
              <w:rPr>
                <w:rFonts w:hint="eastAsia" w:ascii="宋体"/>
                <w:b/>
                <w:color w:val="000000"/>
                <w:szCs w:val="21"/>
                <w:lang w:val="en-US" w:eastAsia="zh-CN"/>
              </w:rPr>
              <w:t>/</w:t>
            </w:r>
            <w:r>
              <w:rPr>
                <w:rFonts w:ascii="宋体"/>
                <w:b/>
                <w:color w:val="000000"/>
                <w:szCs w:val="21"/>
              </w:rPr>
              <w:t>张家港保税物流园区内</w:t>
            </w:r>
          </w:p>
        </w:tc>
        <w:tc>
          <w:tcPr>
            <w:tcW w:w="2316" w:type="dxa"/>
          </w:tcPr>
          <w:p>
            <w:pPr>
              <w:rPr>
                <w:color w:val="000000"/>
              </w:rPr>
            </w:pPr>
            <w:r>
              <w:rPr>
                <w:rFonts w:hint="eastAsia" w:ascii="宋体" w:hAnsi="宋体" w:cs="宋体"/>
                <w:color w:val="000000"/>
                <w:kern w:val="0"/>
                <w:szCs w:val="21"/>
              </w:rPr>
              <w:t>苏州港张家港港区化学工业园作业区张家港长江国际化工码头1#（含3#）、2#泊位、内河泊位；1-9号罐区</w:t>
            </w:r>
          </w:p>
          <w:p>
            <w:pPr>
              <w:spacing w:before="40" w:after="40"/>
              <w:rPr>
                <w:rFonts w:eastAsia="黑体"/>
                <w:szCs w:val="21"/>
                <w:lang w:val="de-DE" w:eastAsia="ja-JP"/>
              </w:rPr>
            </w:pPr>
          </w:p>
        </w:tc>
        <w:tc>
          <w:tcPr>
            <w:tcW w:w="1171" w:type="dxa"/>
            <w:vAlign w:val="center"/>
          </w:tcPr>
          <w:p>
            <w:pPr>
              <w:spacing w:before="40" w:after="40"/>
              <w:rPr>
                <w:rFonts w:hint="default" w:eastAsia="黑体"/>
                <w:szCs w:val="21"/>
                <w:lang w:val="en-US" w:eastAsia="zh-CN"/>
              </w:rPr>
            </w:pPr>
            <w:r>
              <w:rPr>
                <w:rFonts w:hint="eastAsia" w:eastAsia="黑体"/>
                <w:szCs w:val="21"/>
                <w:lang w:val="en-US" w:eastAsia="zh-CN"/>
              </w:rPr>
              <w:t>能源管理体系覆盖人数157（总人数291）</w:t>
            </w:r>
          </w:p>
        </w:tc>
        <w:tc>
          <w:tcPr>
            <w:tcW w:w="2803" w:type="dxa"/>
            <w:vAlign w:val="center"/>
          </w:tcPr>
          <w:p>
            <w:pPr>
              <w:pStyle w:val="22"/>
              <w:rPr>
                <w:rFonts w:eastAsia="黑体" w:cs="Arial"/>
                <w:sz w:val="21"/>
                <w:szCs w:val="21"/>
                <w:lang w:val="en-US" w:eastAsia="ja-JP"/>
              </w:rPr>
            </w:pPr>
            <w:r>
              <w:rPr>
                <w:rFonts w:hint="eastAsia" w:ascii="宋体" w:hAnsi="宋体" w:cs="宋体"/>
                <w:color w:val="000000"/>
                <w:kern w:val="0"/>
                <w:szCs w:val="21"/>
              </w:rPr>
              <w:t>资质范围内液体散装化工品（危险化学品</w:t>
            </w:r>
            <w:r>
              <w:rPr>
                <w:rFonts w:hint="eastAsia" w:ascii="宋体" w:hAnsi="宋体" w:cs="宋体"/>
                <w:color w:val="0000FF"/>
                <w:kern w:val="0"/>
                <w:szCs w:val="21"/>
                <w:lang w:val="en-US" w:eastAsia="zh-CN"/>
              </w:rPr>
              <w:t>经营</w:t>
            </w:r>
            <w:r>
              <w:rPr>
                <w:rFonts w:hint="eastAsia" w:ascii="宋体" w:hAnsi="宋体" w:cs="宋体"/>
                <w:color w:val="000000"/>
                <w:kern w:val="0"/>
                <w:szCs w:val="21"/>
              </w:rPr>
              <w:t>除外）的仓储服务(包括接卸、保管、发货) 所涉及的能源管理活动</w:t>
            </w:r>
          </w:p>
        </w:tc>
        <w:tc>
          <w:tcPr>
            <w:tcW w:w="669" w:type="dxa"/>
            <w:vAlign w:val="center"/>
          </w:tcPr>
          <w:p>
            <w:pPr>
              <w:spacing w:before="40" w:after="40"/>
              <w:rPr>
                <w:rFonts w:eastAsia="黑体"/>
                <w:szCs w:val="21"/>
                <w:lang w:eastAsia="ja-JP"/>
              </w:rPr>
            </w:pPr>
            <w:r>
              <w:rPr>
                <w:rFonts w:hint="eastAsia" w:ascii="宋体" w:hAnsi="宋体"/>
                <w:b/>
                <w:color w:val="000000"/>
                <w:szCs w:val="21"/>
                <w:lang w:val="de-DE"/>
              </w:rPr>
              <w:t>GB/T 23331-202</w:t>
            </w:r>
            <w:r>
              <w:rPr>
                <w:rFonts w:hint="eastAsia" w:ascii="宋体" w:hAnsi="宋体"/>
                <w:b/>
                <w:color w:val="000000"/>
                <w:szCs w:val="21"/>
                <w:lang w:val="en-US" w:eastAsia="zh-CN"/>
              </w:rPr>
              <w:t>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bl>
    <w:p/>
    <w:p>
      <w:pPr>
        <w:pStyle w:val="2"/>
      </w:pPr>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w:t>
            </w:r>
            <w:r>
              <w:rPr>
                <w:rFonts w:hint="eastAsia"/>
                <w:lang w:val="en-US" w:eastAsia="zh-CN"/>
              </w:rPr>
              <w:t xml:space="preserve">  </w:t>
            </w:r>
            <w:r>
              <w:t>涛</w:t>
            </w:r>
          </w:p>
        </w:tc>
        <w:tc>
          <w:tcPr>
            <w:tcW w:w="1089" w:type="dxa"/>
            <w:vAlign w:val="center"/>
          </w:tcPr>
          <w:p>
            <w:r>
              <w:t>组长</w:t>
            </w:r>
          </w:p>
        </w:tc>
        <w:tc>
          <w:tcPr>
            <w:tcW w:w="711" w:type="dxa"/>
            <w:vAlign w:val="center"/>
          </w:tcPr>
          <w:p>
            <w:r>
              <w:t>男</w:t>
            </w:r>
          </w:p>
        </w:tc>
        <w:tc>
          <w:tcPr>
            <w:tcW w:w="3870" w:type="dxa"/>
            <w:vAlign w:val="center"/>
          </w:tcPr>
          <w:p>
            <w:r>
              <w:t>2021-N1EnMS-2072033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组员</w:t>
            </w:r>
          </w:p>
        </w:tc>
        <w:tc>
          <w:tcPr>
            <w:tcW w:w="711" w:type="dxa"/>
            <w:vAlign w:val="center"/>
          </w:tcPr>
          <w:p>
            <w:r>
              <w:t>女</w:t>
            </w:r>
          </w:p>
        </w:tc>
        <w:tc>
          <w:tcPr>
            <w:tcW w:w="3870" w:type="dxa"/>
            <w:vAlign w:val="center"/>
          </w:tcPr>
          <w:p>
            <w:r>
              <w:t>2020-N1EnMS-3021820</w:t>
            </w:r>
          </w:p>
        </w:tc>
        <w:tc>
          <w:tcPr>
            <w:tcW w:w="2179" w:type="dxa"/>
            <w:vAlign w:val="center"/>
          </w:tcPr>
          <w:p>
            <w:r>
              <w:t>2.10</w:t>
            </w: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eastAsia="zh-CN"/>
              </w:rPr>
            </w:pPr>
            <w:r>
              <w:t>资质范围内液体散装化工品（危险化学品</w:t>
            </w:r>
            <w:r>
              <w:rPr>
                <w:rFonts w:hint="eastAsia"/>
                <w:color w:val="0000FF"/>
                <w:lang w:val="en-US" w:eastAsia="zh-CN"/>
              </w:rPr>
              <w:t>经营</w:t>
            </w:r>
            <w:r>
              <w:t>除外）的仓储服务(包括接卸、保管、发货) 所涉及的能源管理活动</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（见□QMS □EcMS□EMS□OHSMS</w:t>
      </w:r>
      <w:r>
        <w:rPr>
          <w:rFonts w:hint="eastAsia"/>
          <w:lang w:eastAsia="zh-CN"/>
        </w:rPr>
        <w:t>☑</w:t>
      </w:r>
      <w:r>
        <w:rPr>
          <w:rFonts w:hint="eastAsia"/>
        </w:rPr>
        <w:t>EnMS□FSMS□HACCP的附件）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730" w:type="dxa"/>
            <w:vMerge w:val="continue"/>
            <w:shd w:val="clear" w:color="auto" w:fill="auto"/>
          </w:tcPr>
          <w:p/>
        </w:tc>
        <w:tc>
          <w:tcPr>
            <w:tcW w:w="970" w:type="dxa"/>
            <w:shd w:val="clear" w:color="auto" w:fill="auto"/>
          </w:tcPr>
          <w:p>
            <w:r>
              <w:rPr>
                <w:rFonts w:hint="eastAsia"/>
              </w:rPr>
              <w:t>EnMS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647700" cy="304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647700" cy="304800"/>
                          </a:xfrm>
                          <a:prstGeom prst="rect">
                            <a:avLst/>
                          </a:prstGeom>
                          <a:noFill/>
                          <a:ln>
                            <a:noFill/>
                          </a:ln>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2022.9.13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rPr>
                <w:highlight w:val="yellow"/>
              </w:rPr>
            </w:pPr>
            <w:r>
              <w:rPr>
                <w:rFonts w:hint="eastAsia"/>
              </w:rPr>
              <w:t>受审核组织</w:t>
            </w:r>
            <w:r>
              <w:rPr>
                <w:rFonts w:hint="eastAsia"/>
                <w:highlight w:val="yellow"/>
              </w:rPr>
              <w:t>已与其宗旨和战略方向相关并影响其实现管理体系预期结果的能力的各种外部和内部因素进行了确定；监视和评审了相关信息。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rPr>
                      <w:rFonts w:hint="eastAsia"/>
                    </w:rPr>
                    <w:t>活动、产品和服务</w:t>
                  </w:r>
                  <w:r>
                    <w:rPr>
                      <w:rFonts w:hint="eastAsia"/>
                      <w:lang w:eastAsia="zh-CN"/>
                    </w:rPr>
                    <w:t>☑</w:t>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确定了与相关管理体系有关的相关方及需求和希望；监视和评审了相关方的相关信息。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rPr>
                <w:highlight w:val="yellow"/>
              </w:rPr>
            </w:pPr>
            <w:r>
              <w:rPr>
                <w:rFonts w:hint="eastAsia"/>
                <w:highlight w:val="yellow"/>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rPr>
                <w:highlight w:val="yellow"/>
              </w:rPr>
            </w:pPr>
            <w:r>
              <w:rPr>
                <w:rFonts w:hint="eastAsia"/>
                <w:highlight w:val="yellow"/>
              </w:rPr>
              <w:t>已将能源管理体系要求融入到其各项业务过程中，包括：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节约资源□满足限额要求</w:t>
            </w:r>
            <w:r>
              <w:rPr>
                <w:rFonts w:hint="eastAsia"/>
                <w:lang w:eastAsia="zh-CN"/>
              </w:rPr>
              <w:t>☑</w:t>
            </w:r>
            <w:r>
              <w:rPr>
                <w:rFonts w:hint="eastAsia"/>
              </w:rPr>
              <w:t>主要用能设备管理</w:t>
            </w:r>
            <w:r>
              <w:rPr>
                <w:rFonts w:hint="eastAsia"/>
                <w:lang w:eastAsia="zh-CN"/>
              </w:rPr>
              <w:t>☑</w:t>
            </w:r>
            <w:r>
              <w:rPr>
                <w:rFonts w:hint="eastAsia"/>
              </w:rPr>
              <w:t>能耗测量</w:t>
            </w:r>
          </w:p>
          <w:p>
            <w:pPr>
              <w:shd w:val="clear" w:color="auto" w:fill="EBF1DE" w:themeFill="accent3" w:themeFillTint="32"/>
              <w:spacing w:before="40" w:after="40"/>
            </w:pP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□生产/服务过程□能效监测□设备维修□人员培训□其他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highlight w:val="yellow"/>
                <w:u w:val="single"/>
              </w:rPr>
            </w:pPr>
            <w:r>
              <w:rPr>
                <w:rFonts w:hint="eastAsia"/>
                <w:highlight w:val="yellow"/>
              </w:rPr>
              <w:t>最高管理者制定了文件化的管理体系方针：</w:t>
            </w:r>
            <w:r>
              <w:rPr>
                <w:rFonts w:hint="eastAsia" w:ascii="Times New Roman" w:hAnsi="Times New Roman" w:eastAsia="宋体" w:cs="Times New Roman"/>
                <w:highlight w:val="yellow"/>
                <w:u w:val="single"/>
              </w:rPr>
              <w:t>严格贯彻节能法律法规，履行节能降耗相关要求；提供资源促进节能进步，持续改进能源管理绩效；形成节能降耗长效机制，构建节约环保绿色企业。</w:t>
            </w:r>
          </w:p>
          <w:p>
            <w:pPr>
              <w:shd w:val="clear" w:color="auto" w:fill="EBF1DE" w:themeFill="accent3" w:themeFillTint="32"/>
              <w:rPr>
                <w:u w:val="single"/>
              </w:rPr>
            </w:pP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EnMS的主管部门是——</w:t>
            </w:r>
            <w:r>
              <w:rPr>
                <w:rFonts w:hint="eastAsia"/>
                <w:lang w:eastAsia="zh-CN"/>
              </w:rPr>
              <w:t>☑</w:t>
            </w:r>
            <w:r>
              <w:rPr>
                <w:rFonts w:hint="eastAsia"/>
              </w:rPr>
              <w:t>能源管理团队</w:t>
            </w:r>
            <w:r>
              <w:rPr>
                <w:rFonts w:hint="eastAsia"/>
                <w:lang w:eastAsia="zh-CN"/>
              </w:rPr>
              <w:t>☑</w:t>
            </w:r>
            <w:r>
              <w:rPr>
                <w:rFonts w:hint="eastAsia"/>
                <w:lang w:val="en-US" w:eastAsia="zh-CN"/>
              </w:rPr>
              <w:t>安环部</w:t>
            </w:r>
          </w:p>
          <w:p>
            <w:pPr>
              <w:shd w:val="clear" w:color="auto" w:fill="EBF1DE" w:themeFill="accent3" w:themeFillTint="32"/>
              <w:rPr>
                <w:rFonts w:hint="eastAsia" w:eastAsia="宋体"/>
                <w:lang w:val="en-US" w:eastAsia="zh-CN"/>
              </w:rPr>
            </w:pPr>
            <w:r>
              <w:rPr>
                <w:rFonts w:hint="eastAsia"/>
              </w:rPr>
              <w:t>能源管理团队负责人（管理者代表）是—</w:t>
            </w:r>
            <w:r>
              <w:rPr>
                <w:rFonts w:hint="eastAsia"/>
                <w:lang w:val="en-US" w:eastAsia="zh-CN"/>
              </w:rPr>
              <w:t>黄文伟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在策划能源管理体系时，组织确定了需要应对的风险和机遇及应对这些风险和机遇的措施；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停电停水的风险</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制定应急预案</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演练有效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员工能力不足</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加强培训</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eastAsia="宋体"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合规义务</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加强培训</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rPr>
                <w:highlight w:val="yellow"/>
              </w:rPr>
            </w:pPr>
            <w:r>
              <w:rPr>
                <w:rFonts w:hint="eastAsia"/>
                <w:highlight w:val="yellow"/>
              </w:rPr>
              <w:t>针对每个主要能源使用：1)确定相关变量；2）确定当前能源绩效；3）识别在其控制下，对主要能源使用具有影响的相关人员；</w:t>
            </w:r>
          </w:p>
          <w:p>
            <w:pPr>
              <w:shd w:val="clear" w:color="auto" w:fill="EBF1DE" w:themeFill="accent3" w:themeFillTint="32"/>
              <w:rPr>
                <w:highlight w:val="yellow"/>
              </w:rPr>
            </w:pPr>
            <w:r>
              <w:rPr>
                <w:rFonts w:hint="eastAsia"/>
                <w:highlight w:val="yellow"/>
              </w:rPr>
              <w:t>确定改进能源绩效的机会并进行排序；</w:t>
            </w:r>
          </w:p>
          <w:p>
            <w:pPr>
              <w:shd w:val="clear" w:color="auto" w:fill="EBF1DE" w:themeFill="accent3" w:themeFillTint="32"/>
              <w:rPr>
                <w:highlight w:val="yellow"/>
              </w:rPr>
            </w:pPr>
            <w:r>
              <w:rPr>
                <w:rFonts w:hint="eastAsia"/>
                <w:highlight w:val="yellow"/>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lang w:eastAsia="zh-CN"/>
              </w:rPr>
              <w:t>□</w:t>
            </w:r>
            <w:r>
              <w:rPr>
                <w:rFonts w:hint="eastAsia"/>
              </w:rPr>
              <w:t>蒸汽□天然气</w:t>
            </w:r>
            <w:r>
              <w:rPr>
                <w:rFonts w:hint="eastAsia"/>
                <w:lang w:eastAsia="zh-CN"/>
              </w:rPr>
              <w:t>☑</w:t>
            </w:r>
            <w:r>
              <w:rPr>
                <w:rFonts w:hint="eastAsia"/>
              </w:rPr>
              <w:t>燃料油□燃料气</w:t>
            </w:r>
            <w:r>
              <w:rPr>
                <w:rFonts w:hint="eastAsia"/>
                <w:lang w:eastAsia="zh-CN"/>
              </w:rPr>
              <w:t>☑</w:t>
            </w:r>
            <w:r>
              <w:rPr>
                <w:rFonts w:hint="eastAsia"/>
              </w:rPr>
              <w:t>电力</w:t>
            </w:r>
            <w:r>
              <w:rPr>
                <w:rFonts w:hint="eastAsia"/>
                <w:lang w:eastAsia="zh-CN"/>
              </w:rPr>
              <w:t>☑</w:t>
            </w:r>
            <w:r>
              <w:rPr>
                <w:rFonts w:hint="eastAsia"/>
              </w:rPr>
              <w:t>氮气□风</w:t>
            </w:r>
            <w:r>
              <w:rPr>
                <w:rFonts w:hint="eastAsia"/>
                <w:lang w:eastAsia="zh-CN"/>
              </w:rPr>
              <w:t>☑</w:t>
            </w:r>
            <w:r>
              <w:rPr>
                <w:rFonts w:hint="eastAsia"/>
              </w:rPr>
              <w:t>新鲜水□各种品质水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lang w:eastAsia="zh-CN"/>
              </w:rPr>
              <w:t>☑</w:t>
            </w:r>
            <w:r>
              <w:rPr>
                <w:rFonts w:hint="eastAsia"/>
              </w:rPr>
              <w:t>单位产品综合能耗</w:t>
            </w:r>
            <w:r>
              <w:rPr>
                <w:rFonts w:hint="eastAsia"/>
                <w:lang w:eastAsia="zh-CN"/>
              </w:rPr>
              <w:t>☑</w:t>
            </w:r>
            <w:r>
              <w:rPr>
                <w:rFonts w:hint="eastAsia"/>
              </w:rPr>
              <w:t>能源消费总量□单位产品蒸汽消耗□单位产品燃料气消耗□加热炉热效率□其他</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pPr>
            <w:r>
              <w:rPr>
                <w:rFonts w:hint="eastAsia"/>
              </w:rPr>
              <w:t>□能源评审报告编号/日期：</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组织策划并采取措施管理其能源评审、合规义务和识别的风险和机遇；</w:t>
            </w:r>
          </w:p>
          <w:p>
            <w:pPr>
              <w:shd w:val="clear" w:color="auto" w:fill="EBF1DE" w:themeFill="accent3" w:themeFillTint="32"/>
            </w:pPr>
            <w:r>
              <w:rPr>
                <w:rFonts w:hint="eastAsia"/>
              </w:rPr>
              <w:t>□限额标准</w:t>
            </w:r>
            <w:r>
              <w:rPr>
                <w:rFonts w:hint="eastAsia"/>
                <w:lang w:eastAsia="zh-CN"/>
              </w:rPr>
              <w:t>☑</w:t>
            </w:r>
            <w:r>
              <w:rPr>
                <w:rFonts w:hint="eastAsia"/>
              </w:rPr>
              <w:t>能源计量管理</w:t>
            </w:r>
            <w:r>
              <w:rPr>
                <w:rFonts w:hint="eastAsia"/>
                <w:lang w:eastAsia="zh-CN"/>
              </w:rPr>
              <w:t>☑</w:t>
            </w:r>
            <w:r>
              <w:rPr>
                <w:rFonts w:hint="eastAsia"/>
              </w:rPr>
              <w:t>使用节能设备</w:t>
            </w:r>
            <w:r>
              <w:rPr>
                <w:rFonts w:hint="eastAsia"/>
                <w:lang w:eastAsia="zh-CN"/>
              </w:rPr>
              <w:t>☑</w:t>
            </w:r>
            <w:r>
              <w:rPr>
                <w:rFonts w:hint="eastAsia"/>
              </w:rPr>
              <w:t>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rPr>
                <w:rFonts w:hint="eastAsia"/>
              </w:rPr>
            </w:pPr>
            <w:r>
              <w:rPr>
                <w:rFonts w:hint="eastAsia"/>
              </w:rPr>
              <w:t>节能目标实现情况的评价，及其控制措施是：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1186"/>
              <w:gridCol w:w="2855"/>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eastAsia"/>
                      <w:color w:val="auto"/>
                      <w:szCs w:val="18"/>
                      <w:highlight w:val="none"/>
                      <w:lang w:val="en-US" w:eastAsia="zh-CN"/>
                    </w:rPr>
                  </w:pPr>
                  <w:r>
                    <w:rPr>
                      <w:rFonts w:hint="eastAsia"/>
                      <w:color w:val="auto"/>
                      <w:szCs w:val="18"/>
                      <w:highlight w:val="none"/>
                      <w:lang w:val="en-US" w:eastAsia="zh-CN"/>
                    </w:rPr>
                    <w:t>目标</w:t>
                  </w:r>
                </w:p>
              </w:tc>
              <w:tc>
                <w:tcPr>
                  <w:tcW w:w="1387" w:type="dxa"/>
                </w:tcPr>
                <w:p>
                  <w:pPr>
                    <w:widowControl/>
                    <w:spacing w:before="40"/>
                    <w:jc w:val="left"/>
                    <w:rPr>
                      <w:rFonts w:hint="eastAsia"/>
                      <w:color w:val="auto"/>
                      <w:szCs w:val="18"/>
                      <w:highlight w:val="none"/>
                      <w:lang w:val="en-US" w:eastAsia="zh-CN"/>
                    </w:rPr>
                  </w:pPr>
                  <w:r>
                    <w:rPr>
                      <w:rFonts w:hint="eastAsia"/>
                      <w:color w:val="auto"/>
                      <w:szCs w:val="18"/>
                      <w:highlight w:val="none"/>
                      <w:lang w:val="en-US" w:eastAsia="zh-CN"/>
                    </w:rPr>
                    <w:t>考核频次</w:t>
                  </w:r>
                </w:p>
              </w:tc>
              <w:tc>
                <w:tcPr>
                  <w:tcW w:w="3499" w:type="dxa"/>
                </w:tcPr>
                <w:p>
                  <w:pPr>
                    <w:widowControl/>
                    <w:spacing w:before="40"/>
                    <w:jc w:val="left"/>
                    <w:rPr>
                      <w:rFonts w:hint="eastAsia"/>
                      <w:color w:val="auto"/>
                      <w:szCs w:val="18"/>
                      <w:highlight w:val="none"/>
                      <w:lang w:val="en-US" w:eastAsia="zh-CN"/>
                    </w:rPr>
                  </w:pPr>
                  <w:r>
                    <w:rPr>
                      <w:rFonts w:hint="eastAsia"/>
                      <w:color w:val="auto"/>
                      <w:szCs w:val="18"/>
                      <w:highlight w:val="none"/>
                      <w:lang w:val="en-US" w:eastAsia="zh-CN"/>
                    </w:rPr>
                    <w:t>计算方法</w:t>
                  </w:r>
                </w:p>
              </w:tc>
              <w:tc>
                <w:tcPr>
                  <w:tcW w:w="2444" w:type="dxa"/>
                </w:tcPr>
                <w:p>
                  <w:pPr>
                    <w:widowControl/>
                    <w:spacing w:before="40"/>
                    <w:jc w:val="left"/>
                    <w:rPr>
                      <w:rFonts w:hint="eastAsia"/>
                      <w:color w:val="auto"/>
                      <w:szCs w:val="18"/>
                      <w:highlight w:val="none"/>
                      <w:lang w:val="en-US" w:eastAsia="zh-CN"/>
                    </w:rPr>
                  </w:pPr>
                  <w:r>
                    <w:rPr>
                      <w:rFonts w:hint="eastAsia"/>
                      <w:color w:val="auto"/>
                      <w:szCs w:val="18"/>
                      <w:highlight w:val="none"/>
                      <w:lang w:val="en-US" w:eastAsia="zh-CN"/>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eastAsia"/>
                      <w:color w:val="auto"/>
                      <w:szCs w:val="18"/>
                      <w:highlight w:val="none"/>
                      <w:lang w:val="en-US" w:eastAsia="zh-CN"/>
                    </w:rPr>
                  </w:pPr>
                  <w:r>
                    <w:rPr>
                      <w:rFonts w:hint="eastAsia"/>
                      <w:color w:val="auto"/>
                      <w:szCs w:val="18"/>
                      <w:highlight w:val="none"/>
                      <w:lang w:val="en-US" w:eastAsia="zh-CN"/>
                    </w:rPr>
                    <w:t>单位吞吐量能耗为≦</w:t>
                  </w:r>
                  <w:r>
                    <w:rPr>
                      <w:rFonts w:hint="eastAsia" w:ascii="宋体" w:hAnsi="宋体"/>
                      <w:szCs w:val="21"/>
                      <w:lang w:val="en-US" w:eastAsia="zh-CN"/>
                    </w:rPr>
                    <w:t>1484.49kgce/万吨</w:t>
                  </w:r>
                </w:p>
              </w:tc>
              <w:tc>
                <w:tcPr>
                  <w:tcW w:w="1387" w:type="dxa"/>
                  <w:vAlign w:val="top"/>
                </w:tcPr>
                <w:p>
                  <w:pPr>
                    <w:widowControl/>
                    <w:spacing w:before="40"/>
                    <w:jc w:val="left"/>
                    <w:rPr>
                      <w:rFonts w:hint="default"/>
                      <w:color w:val="auto"/>
                      <w:szCs w:val="18"/>
                      <w:highlight w:val="none"/>
                      <w:lang w:val="en-US" w:eastAsia="zh-CN"/>
                    </w:rPr>
                  </w:pPr>
                  <w:r>
                    <w:rPr>
                      <w:rFonts w:hint="eastAsia"/>
                      <w:color w:val="auto"/>
                      <w:szCs w:val="18"/>
                      <w:highlight w:val="none"/>
                      <w:lang w:val="en-US" w:eastAsia="zh-CN"/>
                    </w:rPr>
                    <w:t>按年考核</w:t>
                  </w:r>
                </w:p>
              </w:tc>
              <w:tc>
                <w:tcPr>
                  <w:tcW w:w="3499" w:type="dxa"/>
                  <w:vAlign w:val="top"/>
                </w:tcPr>
                <w:p>
                  <w:pPr>
                    <w:widowControl/>
                    <w:spacing w:before="40"/>
                    <w:jc w:val="left"/>
                    <w:rPr>
                      <w:rFonts w:hint="default"/>
                      <w:color w:val="auto"/>
                      <w:szCs w:val="18"/>
                      <w:highlight w:val="none"/>
                      <w:lang w:val="en-US" w:eastAsia="zh-CN"/>
                    </w:rPr>
                  </w:pPr>
                  <w:r>
                    <w:rPr>
                      <w:rFonts w:hint="eastAsia"/>
                      <w:color w:val="auto"/>
                      <w:szCs w:val="18"/>
                      <w:highlight w:val="none"/>
                      <w:lang w:val="en-US" w:eastAsia="zh-CN"/>
                    </w:rPr>
                    <w:t>综合能耗/吞吐量</w:t>
                  </w:r>
                </w:p>
              </w:tc>
              <w:tc>
                <w:tcPr>
                  <w:tcW w:w="2444" w:type="dxa"/>
                </w:tcPr>
                <w:p>
                  <w:pPr>
                    <w:widowControl/>
                    <w:spacing w:before="40"/>
                    <w:jc w:val="left"/>
                    <w:rPr>
                      <w:rFonts w:hint="eastAsia"/>
                      <w:color w:val="auto"/>
                      <w:szCs w:val="18"/>
                      <w:highlight w:val="none"/>
                      <w:lang w:val="en-US" w:eastAsia="zh-CN"/>
                    </w:rPr>
                  </w:pPr>
                  <w:r>
                    <w:rPr>
                      <w:rFonts w:hint="eastAsia"/>
                      <w:color w:val="auto"/>
                      <w:szCs w:val="18"/>
                      <w:highlight w:val="none"/>
                      <w:lang w:val="en-US" w:eastAsia="zh-CN"/>
                    </w:rPr>
                    <w:t>单位吞吐量能耗为</w:t>
                  </w:r>
                  <w:r>
                    <w:rPr>
                      <w:rFonts w:hint="eastAsia" w:ascii="宋体" w:hAnsi="宋体" w:eastAsia="宋体" w:cs="Times New Roman"/>
                      <w:szCs w:val="21"/>
                      <w:lang w:val="en-US" w:eastAsia="zh-CN"/>
                    </w:rPr>
                    <w:t>1489.51kgce/万吨</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6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组织的资源状况：</w:t>
            </w:r>
            <w:r>
              <w:rPr>
                <w:rFonts w:hint="eastAsia" w:ascii="Wingdings" w:hAnsi="Wingdings"/>
                <w:highlight w:val="yellow"/>
                <w:lang w:eastAsia="zh-CN"/>
              </w:rPr>
              <w:t>☑</w:t>
            </w:r>
            <w:r>
              <w:rPr>
                <w:rFonts w:hint="eastAsia"/>
                <w:highlight w:val="yellow"/>
              </w:rPr>
              <w:t>人力资源</w:t>
            </w:r>
            <w:r>
              <w:rPr>
                <w:rFonts w:hint="eastAsia" w:ascii="Wingdings" w:hAnsi="Wingdings"/>
                <w:highlight w:val="yellow"/>
                <w:lang w:eastAsia="zh-CN"/>
              </w:rPr>
              <w:t>☑</w:t>
            </w:r>
            <w:r>
              <w:rPr>
                <w:rFonts w:hint="eastAsia"/>
                <w:highlight w:val="yellow"/>
              </w:rPr>
              <w:t>自然资源</w:t>
            </w:r>
            <w:r>
              <w:rPr>
                <w:rFonts w:hint="eastAsia" w:ascii="Wingdings" w:hAnsi="Wingdings"/>
                <w:highlight w:val="yellow"/>
                <w:lang w:eastAsia="zh-CN"/>
              </w:rPr>
              <w:t>☑</w:t>
            </w:r>
            <w:r>
              <w:rPr>
                <w:rFonts w:hint="eastAsia"/>
                <w:highlight w:val="yellow"/>
              </w:rPr>
              <w:t>基础设施</w:t>
            </w:r>
            <w:r>
              <w:rPr>
                <w:rFonts w:hint="eastAsia" w:ascii="Wingdings" w:hAnsi="Wingdings"/>
                <w:highlight w:val="yellow"/>
                <w:lang w:eastAsia="zh-CN"/>
              </w:rPr>
              <w:t>☑</w:t>
            </w:r>
            <w:r>
              <w:rPr>
                <w:rFonts w:hint="eastAsia"/>
                <w:highlight w:val="yellow"/>
              </w:rPr>
              <w:t>技术</w:t>
            </w:r>
            <w:r>
              <w:rPr>
                <w:rFonts w:hint="eastAsia" w:ascii="Wingdings" w:hAnsi="Wingdings"/>
                <w:highlight w:val="yellow"/>
                <w:lang w:eastAsia="zh-CN"/>
              </w:rPr>
              <w:t>☑</w:t>
            </w:r>
            <w:r>
              <w:rPr>
                <w:rFonts w:hint="eastAsia"/>
                <w:highlight w:val="yellow"/>
              </w:rPr>
              <w:t>财务资源。</w:t>
            </w:r>
          </w:p>
          <w:p>
            <w:pPr>
              <w:shd w:val="clear" w:color="auto" w:fill="EBF1DE" w:themeFill="accent3" w:themeFillTint="32"/>
              <w:rPr>
                <w:highlight w:val="yellow"/>
              </w:rPr>
            </w:pPr>
            <w:r>
              <w:rPr>
                <w:rFonts w:hint="eastAsia"/>
                <w:highlight w:val="yellow"/>
                <w:lang w:eastAsia="zh-CN"/>
              </w:rPr>
              <w:t>☑</w:t>
            </w:r>
            <w:r>
              <w:rPr>
                <w:rFonts w:hint="eastAsia"/>
                <w:highlight w:val="yellow"/>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组织应确定并配备所需的管理人员、技术人员和生产操作/服务提供人员：</w:t>
            </w:r>
          </w:p>
          <w:p>
            <w:pPr>
              <w:shd w:val="clear" w:color="auto" w:fill="EBF1DE" w:themeFill="accent3" w:themeFillTint="32"/>
              <w:rPr>
                <w:highlight w:val="yellow"/>
              </w:rPr>
            </w:pPr>
            <w:r>
              <w:rPr>
                <w:rFonts w:hint="eastAsia"/>
                <w:highlight w:val="yellow"/>
                <w:lang w:eastAsia="zh-CN"/>
              </w:rPr>
              <w:t>☑</w:t>
            </w:r>
            <w:r>
              <w:rPr>
                <w:rFonts w:hint="eastAsia"/>
                <w:highlight w:val="yellow"/>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组织应确定、提供并维护所需的基础设施情况：</w:t>
            </w:r>
          </w:p>
          <w:p>
            <w:pPr>
              <w:shd w:val="clear" w:color="auto" w:fill="EBF1DE" w:themeFill="accent3" w:themeFillTint="32"/>
              <w:rPr>
                <w:rFonts w:hint="eastAsia"/>
                <w:highlight w:val="yellow"/>
              </w:rPr>
            </w:pPr>
            <w:r>
              <w:rPr>
                <w:rFonts w:hint="eastAsia"/>
                <w:highlight w:val="yellow"/>
              </w:rPr>
              <w:t>占地面积327962.2</w:t>
            </w:r>
            <w:r>
              <w:rPr>
                <w:rFonts w:hint="eastAsia"/>
                <w:highlight w:val="yellow"/>
                <w:lang w:val="en-US" w:eastAsia="zh-CN"/>
              </w:rPr>
              <w:t>平方米</w:t>
            </w:r>
            <w:r>
              <w:rPr>
                <w:rFonts w:hint="eastAsia"/>
                <w:highlight w:val="yellow"/>
              </w:rPr>
              <w:t>；长江码头2个泊位，储罐142座；</w:t>
            </w:r>
          </w:p>
          <w:p>
            <w:pPr>
              <w:shd w:val="clear" w:color="auto" w:fill="EBF1DE" w:themeFill="accent3" w:themeFillTint="32"/>
              <w:rPr>
                <w:rFonts w:hint="eastAsia"/>
                <w:highlight w:val="yellow"/>
              </w:rPr>
            </w:pPr>
            <w:r>
              <w:rPr>
                <w:rFonts w:hint="eastAsia"/>
                <w:highlight w:val="yellow"/>
              </w:rPr>
              <w:t>主要生产设备有：</w:t>
            </w:r>
            <w:r>
              <w:rPr>
                <w:rFonts w:hint="eastAsia"/>
                <w:highlight w:val="yellow"/>
                <w:u w:val="single"/>
              </w:rPr>
              <w:t>机泵、吊机</w:t>
            </w:r>
            <w:r>
              <w:rPr>
                <w:rFonts w:hint="eastAsia"/>
                <w:highlight w:val="yellow"/>
                <w:u w:val="single"/>
                <w:lang w:eastAsia="zh-CN"/>
              </w:rPr>
              <w:t>、</w:t>
            </w:r>
            <w:r>
              <w:rPr>
                <w:rFonts w:hint="eastAsia"/>
                <w:highlight w:val="yellow"/>
                <w:u w:val="single"/>
                <w:lang w:val="en-US" w:eastAsia="zh-CN"/>
              </w:rPr>
              <w:t>储罐</w:t>
            </w:r>
            <w:r>
              <w:rPr>
                <w:rFonts w:hint="eastAsia"/>
                <w:highlight w:val="yellow"/>
                <w:u w:val="single"/>
              </w:rPr>
              <w:t>。</w:t>
            </w:r>
          </w:p>
          <w:p>
            <w:pPr>
              <w:shd w:val="clear" w:color="auto" w:fill="EBF1DE" w:themeFill="accent3" w:themeFillTint="32"/>
              <w:rPr>
                <w:rFonts w:hint="default" w:eastAsia="宋体"/>
                <w:highlight w:val="yellow"/>
                <w:lang w:val="en-US" w:eastAsia="zh-CN"/>
              </w:rPr>
            </w:pPr>
            <w:r>
              <w:rPr>
                <w:rFonts w:hint="eastAsia"/>
                <w:highlight w:val="yellow"/>
              </w:rPr>
              <w:t>主要耗能设备有：</w:t>
            </w:r>
            <w:r>
              <w:rPr>
                <w:rFonts w:hint="eastAsia"/>
                <w:highlight w:val="yellow"/>
                <w:u w:val="single"/>
              </w:rPr>
              <w:t>机泵</w:t>
            </w:r>
            <w:r>
              <w:rPr>
                <w:rFonts w:hint="eastAsia"/>
                <w:highlight w:val="yellow"/>
                <w:u w:val="single"/>
                <w:lang w:eastAsia="zh-CN"/>
              </w:rPr>
              <w:t>。</w:t>
            </w:r>
            <w:r>
              <w:rPr>
                <w:rFonts w:hint="eastAsia"/>
                <w:highlight w:val="yellow"/>
                <w:u w:val="single"/>
                <w:lang w:val="en-US" w:eastAsia="zh-CN"/>
              </w:rPr>
              <w:t>吊机。</w:t>
            </w:r>
          </w:p>
          <w:p>
            <w:pPr>
              <w:shd w:val="clear" w:color="auto" w:fill="EBF1DE" w:themeFill="accent3" w:themeFillTint="32"/>
              <w:rPr>
                <w:rFonts w:hint="eastAsia"/>
              </w:rPr>
            </w:pPr>
            <w:r>
              <w:rPr>
                <w:rFonts w:hint="eastAsia"/>
              </w:rPr>
              <w:t>特种设备：</w:t>
            </w:r>
            <w:r>
              <w:rPr>
                <w:rFonts w:hint="eastAsia"/>
                <w:lang w:eastAsia="zh-CN"/>
              </w:rPr>
              <w:t>☑</w:t>
            </w:r>
            <w:r>
              <w:rPr>
                <w:rFonts w:hint="eastAsia"/>
              </w:rPr>
              <w:t>叉车</w:t>
            </w:r>
            <w:r>
              <w:rPr>
                <w:rFonts w:hint="eastAsia"/>
                <w:lang w:eastAsia="zh-CN"/>
              </w:rPr>
              <w:t>□</w:t>
            </w:r>
            <w:r>
              <w:rPr>
                <w:rFonts w:hint="eastAsia"/>
              </w:rPr>
              <w:t>行车</w:t>
            </w:r>
            <w:r>
              <w:rPr>
                <w:rFonts w:hint="eastAsia"/>
                <w:lang w:eastAsia="zh-CN"/>
              </w:rPr>
              <w:t>□</w:t>
            </w:r>
            <w:r>
              <w:rPr>
                <w:rFonts w:hint="eastAsia"/>
              </w:rPr>
              <w:t>锅炉</w:t>
            </w:r>
            <w:r>
              <w:rPr>
                <w:rFonts w:hint="eastAsia"/>
                <w:lang w:eastAsia="zh-CN"/>
              </w:rPr>
              <w:t>□</w:t>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rPr>
                <w:highlight w:val="yellow"/>
              </w:rPr>
            </w:pPr>
            <w:r>
              <w:rPr>
                <w:rFonts w:hint="eastAsia"/>
                <w:highlight w:val="yellow"/>
                <w:lang w:eastAsia="zh-CN"/>
              </w:rPr>
              <w:t>☑</w:t>
            </w:r>
            <w:r>
              <w:rPr>
                <w:rFonts w:hint="eastAsia"/>
                <w:highlight w:val="yellow"/>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能源计量器具有：</w:t>
            </w:r>
            <w:r>
              <w:rPr>
                <w:rFonts w:hint="eastAsia"/>
                <w:u w:val="single"/>
                <w:lang w:val="en-US" w:eastAsia="zh-CN"/>
              </w:rPr>
              <w:t>电表、氮气流量表</w:t>
            </w:r>
            <w:r>
              <w:rPr>
                <w:rFonts w:hint="eastAsia"/>
                <w:u w:val="single"/>
              </w:rPr>
              <w:t>（列举1~4种）</w:t>
            </w:r>
          </w:p>
          <w:p>
            <w:pPr>
              <w:shd w:val="clear" w:color="auto" w:fill="EBF1DE" w:themeFill="accent3" w:themeFillTint="32"/>
              <w:rPr>
                <w:u w:val="single"/>
              </w:rPr>
            </w:pPr>
            <w:r>
              <w:rPr>
                <w:rFonts w:hint="eastAsia"/>
                <w:u w:val="single"/>
                <w:lang w:val="en-US" w:eastAsia="zh-CN"/>
              </w:rPr>
              <w:t>计量器具管理：☑进行了定期校准/检定□未进行定期校准/检定的有：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yellow"/>
              </w:rPr>
            </w:pPr>
            <w:r>
              <w:rPr>
                <w:rFonts w:hint="eastAsia"/>
              </w:rPr>
              <w:t>组织提高员工的节能意识，确保受其控制工作的人员知晓：能源方针；相关的节能目标；他们</w:t>
            </w:r>
            <w:r>
              <w:rPr>
                <w:rFonts w:hint="eastAsia"/>
                <w:highlight w:val="yellow"/>
              </w:rPr>
              <w:t>对能源管理体系有效性的贡献，包括改进绩效的益处；不符合能源管理体系要求的后果。</w:t>
            </w:r>
          </w:p>
          <w:p>
            <w:pPr>
              <w:shd w:val="clear" w:color="auto" w:fill="EBF1DE" w:themeFill="accent3" w:themeFillTint="32"/>
            </w:pPr>
            <w:r>
              <w:rPr>
                <w:rFonts w:hint="eastAsia"/>
                <w:highlight w:val="yellow"/>
              </w:rPr>
              <w:t>通过</w:t>
            </w:r>
            <w:r>
              <w:rPr>
                <w:rFonts w:hint="eastAsia" w:ascii="Wingdings" w:hAnsi="Wingdings"/>
                <w:highlight w:val="yellow"/>
                <w:lang w:eastAsia="zh-CN"/>
              </w:rPr>
              <w:t>☑</w:t>
            </w:r>
            <w:r>
              <w:rPr>
                <w:rFonts w:hint="eastAsia"/>
                <w:highlight w:val="yellow"/>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w:t>
            </w:r>
            <w:r>
              <w:rPr>
                <w:rFonts w:hint="eastAsia"/>
                <w:highlight w:val="yellow"/>
              </w:rPr>
              <w:t>已建立了文件化的能源管理体系。对自编文件的编制、审批、发放、变更和作废进行了控制。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w:t>
            </w:r>
            <w:r>
              <w:rPr>
                <w:rFonts w:hint="eastAsia" w:ascii="Times New Roman" w:hAnsi="Times New Roman" w:eastAsia="宋体" w:cs="Times New Roman"/>
                <w:highlight w:val="yellow"/>
              </w:rPr>
              <w:t>为满足节能管理的要求，已对用能过程建立了相应的运行准则；按照运行准则实施过程控制。策划文件包括：</w:t>
            </w:r>
          </w:p>
          <w:p>
            <w:pPr>
              <w:shd w:val="clear" w:color="auto" w:fill="EBF1DE" w:themeFill="accent3" w:themeFillTint="32"/>
              <w:rPr>
                <w:rFonts w:hint="eastAsia" w:ascii="Times New Roman" w:hAnsi="Times New Roman" w:eastAsia="宋体" w:cs="Times New Roman"/>
              </w:rPr>
            </w:pPr>
            <w:r>
              <w:rPr>
                <w:rFonts w:hint="eastAsia" w:cs="Times New Roman"/>
                <w:lang w:eastAsia="zh-CN"/>
              </w:rPr>
              <w:t>☑</w:t>
            </w:r>
            <w:r>
              <w:rPr>
                <w:rFonts w:hint="eastAsia" w:ascii="Times New Roman" w:hAnsi="Times New Roman" w:eastAsia="宋体" w:cs="Times New Roman"/>
              </w:rPr>
              <w:t>操作规程</w:t>
            </w:r>
            <w:r>
              <w:rPr>
                <w:rFonts w:hint="eastAsia" w:cs="Times New Roman"/>
                <w:lang w:eastAsia="zh-CN"/>
              </w:rPr>
              <w:t>☑</w:t>
            </w:r>
            <w:r>
              <w:rPr>
                <w:rFonts w:hint="eastAsia" w:ascii="Times New Roman" w:hAnsi="Times New Roman" w:eastAsia="宋体" w:cs="Times New Roman"/>
              </w:rPr>
              <w:t>作业文件</w:t>
            </w:r>
            <w:r>
              <w:rPr>
                <w:rFonts w:hint="eastAsia" w:cs="Times New Roman"/>
                <w:lang w:eastAsia="zh-CN"/>
              </w:rPr>
              <w:t>☑</w:t>
            </w:r>
            <w:r>
              <w:rPr>
                <w:rFonts w:hint="eastAsia" w:ascii="Times New Roman" w:hAnsi="Times New Roman" w:eastAsia="宋体" w:cs="Times New Roman"/>
              </w:rPr>
              <w:t>工艺卡片</w:t>
            </w:r>
            <w:r>
              <w:rPr>
                <w:rFonts w:hint="eastAsia" w:cs="Times New Roman"/>
                <w:lang w:eastAsia="zh-CN"/>
              </w:rPr>
              <w:t>☑</w:t>
            </w:r>
            <w:r>
              <w:rPr>
                <w:rFonts w:hint="eastAsia" w:ascii="Times New Roman" w:hAnsi="Times New Roman" w:eastAsia="宋体" w:cs="Times New Roman"/>
              </w:rPr>
              <w:t>接收准则</w:t>
            </w:r>
            <w:r>
              <w:rPr>
                <w:rFonts w:hint="eastAsia" w:cs="Times New Roman"/>
                <w:lang w:eastAsia="zh-CN"/>
              </w:rPr>
              <w:t>☑</w:t>
            </w:r>
            <w:r>
              <w:rPr>
                <w:rFonts w:hint="eastAsia" w:ascii="Times New Roman" w:hAnsi="Times New Roman" w:eastAsia="宋体" w:cs="Times New Roman"/>
              </w:rPr>
              <w:t>工艺流程图</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w:t>
            </w:r>
            <w:r>
              <w:rPr>
                <w:rFonts w:hint="eastAsia"/>
                <w:highlight w:val="yellow"/>
              </w:rPr>
              <w:t>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       </w:t>
            </w:r>
            <w:r>
              <w:rPr>
                <w:rFonts w:hint="eastAsia"/>
                <w:u w:val="single"/>
              </w:rPr>
              <w:t>（</w:t>
            </w:r>
            <w:r>
              <w:rPr>
                <w:rFonts w:hint="eastAsia"/>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676"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highlight w:val="yellow"/>
              </w:rPr>
            </w:pPr>
            <w:r>
              <w:rPr>
                <w:rFonts w:hint="eastAsia"/>
                <w:highlight w:val="yellow"/>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能源采购</w:t>
            </w:r>
            <w:r>
              <w:rPr>
                <w:rFonts w:hint="eastAsia" w:ascii="Wingdings" w:hAnsi="Wingdings"/>
                <w:lang w:eastAsia="zh-CN"/>
              </w:rPr>
              <w:t>□</w:t>
            </w:r>
            <w:r>
              <w:rPr>
                <w:rFonts w:hint="eastAsia"/>
              </w:rPr>
              <w:t>主要用能设备采购</w:t>
            </w:r>
            <w:r>
              <w:rPr>
                <w:rFonts w:hint="eastAsia" w:ascii="Wingdings" w:hAnsi="Wingdings"/>
                <w:lang w:eastAsia="zh-CN"/>
              </w:rPr>
              <w:t>□</w:t>
            </w:r>
            <w:r>
              <w:rPr>
                <w:rFonts w:hint="eastAsia"/>
              </w:rPr>
              <w:t>淘汰落后设备更新</w:t>
            </w:r>
            <w:r>
              <w:rPr>
                <w:rFonts w:hint="eastAsia" w:ascii="Wingdings" w:hAnsi="Wingdings"/>
                <w:lang w:eastAsia="zh-CN"/>
              </w:rPr>
              <w:t>□</w:t>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lang w:val="en-US" w:eastAsia="zh-CN"/>
                    </w:rPr>
                    <w:t>氮气</w:t>
                  </w:r>
                  <w:r>
                    <w:rPr>
                      <w:rFonts w:hint="eastAsia"/>
                    </w:rPr>
                    <w:t>消耗</w:t>
                  </w:r>
                </w:p>
              </w:tc>
              <w:tc>
                <w:tcPr>
                  <w:tcW w:w="3665" w:type="dxa"/>
                </w:tcPr>
                <w:p>
                  <w:pPr>
                    <w:shd w:val="clear" w:color="auto" w:fill="EBF1DE" w:themeFill="accent3" w:themeFillTint="32"/>
                    <w:jc w:val="left"/>
                  </w:pPr>
                  <w:r>
                    <w:rPr>
                      <w:rFonts w:hint="eastAsia"/>
                      <w:lang w:val="en-US" w:eastAsia="zh-CN"/>
                    </w:rPr>
                    <w:t>杜绝跑冒滴漏，</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加强用电管理，杜绝超负荷运转或空运转，空调设置最低26度，</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default" w:eastAsia="宋体"/>
                      <w:lang w:val="en-US" w:eastAsia="zh-CN"/>
                    </w:rPr>
                  </w:pPr>
                  <w:r>
                    <w:rPr>
                      <w:rFonts w:hint="eastAsia"/>
                      <w:lang w:val="en-US" w:eastAsia="zh-CN"/>
                    </w:rPr>
                    <w:t>燃料油</w:t>
                  </w:r>
                </w:p>
              </w:tc>
              <w:tc>
                <w:tcPr>
                  <w:tcW w:w="3665" w:type="dxa"/>
                </w:tcPr>
                <w:p>
                  <w:pPr>
                    <w:shd w:val="clear" w:color="auto" w:fill="EBF1DE" w:themeFill="accent3" w:themeFillTint="32"/>
                    <w:jc w:val="left"/>
                  </w:pPr>
                  <w:r>
                    <w:rPr>
                      <w:rFonts w:hint="eastAsia"/>
                      <w:lang w:val="en-US" w:eastAsia="zh-CN"/>
                    </w:rPr>
                    <w:t>杜绝跑冒滴漏，</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节能技术的实施</w:t>
            </w:r>
            <w:r>
              <w:rPr>
                <w:rFonts w:hint="eastAsia" w:ascii="Wingdings" w:hAnsi="Wingdings"/>
                <w:lang w:eastAsia="zh-CN"/>
              </w:rPr>
              <w:t>□</w:t>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6</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w:t>
            </w:r>
            <w:r>
              <w:rPr>
                <w:rFonts w:hint="eastAsia"/>
                <w:highlight w:val="yellow"/>
              </w:rPr>
              <w:t>于</w:t>
            </w:r>
            <w:r>
              <w:rPr>
                <w:rFonts w:hint="eastAsia"/>
                <w:highlight w:val="yellow"/>
                <w:lang w:val="en-US" w:eastAsia="zh-CN"/>
              </w:rPr>
              <w:t>2022</w:t>
            </w:r>
            <w:r>
              <w:rPr>
                <w:rFonts w:hint="eastAsia"/>
                <w:highlight w:val="yellow"/>
              </w:rPr>
              <w:t>年</w:t>
            </w:r>
            <w:r>
              <w:rPr>
                <w:rFonts w:hint="eastAsia"/>
                <w:highlight w:val="yellow"/>
                <w:lang w:val="en-US" w:eastAsia="zh-CN"/>
              </w:rPr>
              <w:t>6</w:t>
            </w:r>
            <w:r>
              <w:rPr>
                <w:rFonts w:hint="eastAsia"/>
                <w:highlight w:val="yellow"/>
              </w:rPr>
              <w:t>月</w:t>
            </w:r>
            <w:r>
              <w:rPr>
                <w:rFonts w:hint="eastAsia"/>
                <w:highlight w:val="yellow"/>
                <w:lang w:val="en-US" w:eastAsia="zh-CN"/>
              </w:rPr>
              <w:t>10</w:t>
            </w:r>
            <w:r>
              <w:rPr>
                <w:rFonts w:hint="eastAsia"/>
                <w:highlight w:val="yellow"/>
              </w:rPr>
              <w:t>日实施了能源管理体系内部审核，对能源管理体系的符合性和有效性进行了审核。内审发现的项不符合在本次审核前已完成整改。</w:t>
            </w:r>
            <w:r>
              <w:rPr>
                <w:rFonts w:hint="eastAsia"/>
              </w:rPr>
              <w:t>在公司内完成的这些审核是可信的。</w:t>
            </w:r>
            <w:bookmarkStart w:id="34" w:name="_GoBack"/>
            <w:bookmarkEnd w:id="34"/>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w:t>
            </w:r>
            <w:r>
              <w:rPr>
                <w:rFonts w:hint="eastAsia"/>
                <w:highlight w:val="yellow"/>
              </w:rPr>
              <w:t>已按策划的时间间隔，在</w:t>
            </w:r>
            <w:r>
              <w:rPr>
                <w:rFonts w:hint="eastAsia"/>
                <w:highlight w:val="yellow"/>
                <w:lang w:val="en-US" w:eastAsia="zh-CN"/>
              </w:rPr>
              <w:t>2022</w:t>
            </w:r>
            <w:r>
              <w:rPr>
                <w:rFonts w:hint="eastAsia"/>
                <w:highlight w:val="yellow"/>
              </w:rPr>
              <w:t>年</w:t>
            </w:r>
            <w:r>
              <w:rPr>
                <w:rFonts w:hint="eastAsia"/>
                <w:highlight w:val="yellow"/>
                <w:lang w:val="en-US" w:eastAsia="zh-CN"/>
              </w:rPr>
              <w:t>6</w:t>
            </w:r>
            <w:r>
              <w:rPr>
                <w:rFonts w:hint="eastAsia"/>
                <w:highlight w:val="yellow"/>
              </w:rPr>
              <w:t>月</w:t>
            </w:r>
            <w:r>
              <w:rPr>
                <w:rFonts w:hint="eastAsia"/>
                <w:highlight w:val="yellow"/>
                <w:lang w:val="en-US" w:eastAsia="zh-CN"/>
              </w:rPr>
              <w:t>26</w:t>
            </w:r>
            <w:r>
              <w:rPr>
                <w:rFonts w:hint="eastAsia"/>
                <w:highlight w:val="yellow"/>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highlight w:val="yellow"/>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9"/>
        <w:tblW w:w="98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41"/>
        <w:gridCol w:w="741"/>
        <w:gridCol w:w="741"/>
        <w:gridCol w:w="741"/>
        <w:gridCol w:w="741"/>
        <w:gridCol w:w="741"/>
        <w:gridCol w:w="741"/>
        <w:gridCol w:w="741"/>
        <w:gridCol w:w="74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45"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41" w:type="dxa"/>
            <w:shd w:val="clear" w:color="auto" w:fill="EBF1DE" w:themeFill="accent3" w:themeFillTint="32"/>
            <w:vAlign w:val="center"/>
          </w:tcPr>
          <w:p>
            <w:pPr>
              <w:shd w:val="clear" w:color="auto" w:fill="EBF1DE" w:themeFill="accent3" w:themeFillTint="32"/>
            </w:pPr>
            <w:r>
              <w:rPr>
                <w:rFonts w:hint="eastAsia"/>
              </w:rPr>
              <w:t>7.2</w:t>
            </w:r>
          </w:p>
        </w:tc>
        <w:tc>
          <w:tcPr>
            <w:tcW w:w="741" w:type="dxa"/>
            <w:shd w:val="clear" w:color="auto" w:fill="EBF1DE" w:themeFill="accent3" w:themeFillTint="32"/>
            <w:vAlign w:val="center"/>
          </w:tcPr>
          <w:p>
            <w:pPr>
              <w:shd w:val="clear" w:color="auto" w:fill="EBF1DE" w:themeFill="accent3" w:themeFillTint="32"/>
            </w:pPr>
            <w:r>
              <w:rPr>
                <w:rFonts w:hint="eastAsia"/>
              </w:rPr>
              <w:t>7.3</w:t>
            </w:r>
          </w:p>
        </w:tc>
        <w:tc>
          <w:tcPr>
            <w:tcW w:w="741" w:type="dxa"/>
            <w:shd w:val="clear" w:color="auto" w:fill="EBF1DE" w:themeFill="accent3" w:themeFillTint="32"/>
            <w:vAlign w:val="center"/>
          </w:tcPr>
          <w:p>
            <w:pPr>
              <w:shd w:val="clear" w:color="auto" w:fill="EBF1DE" w:themeFill="accent3" w:themeFillTint="32"/>
            </w:pPr>
            <w:r>
              <w:rPr>
                <w:rFonts w:hint="eastAsia"/>
              </w:rPr>
              <w:t>7.4</w:t>
            </w:r>
          </w:p>
        </w:tc>
        <w:tc>
          <w:tcPr>
            <w:tcW w:w="741" w:type="dxa"/>
            <w:shd w:val="clear" w:color="auto" w:fill="EBF1DE" w:themeFill="accent3" w:themeFillTint="32"/>
            <w:vAlign w:val="center"/>
          </w:tcPr>
          <w:p>
            <w:pPr>
              <w:shd w:val="clear" w:color="auto" w:fill="EBF1DE" w:themeFill="accent3" w:themeFillTint="32"/>
            </w:pPr>
            <w:r>
              <w:rPr>
                <w:rFonts w:hint="eastAsia"/>
              </w:rPr>
              <w:t>7.5</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45"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41" w:type="dxa"/>
            <w:shd w:val="clear" w:color="auto" w:fill="EBF1DE" w:themeFill="accent3" w:themeFillTint="32"/>
            <w:vAlign w:val="center"/>
          </w:tcPr>
          <w:p>
            <w:pPr>
              <w:shd w:val="clear" w:color="auto" w:fill="EBF1DE" w:themeFill="accent3" w:themeFillTint="32"/>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41" w:type="dxa"/>
            <w:shd w:val="clear" w:color="auto" w:fill="EBF1DE" w:themeFill="accent3" w:themeFillTint="32"/>
            <w:vAlign w:val="center"/>
          </w:tcPr>
          <w:p>
            <w:pPr>
              <w:shd w:val="clear" w:color="auto" w:fill="EBF1DE" w:themeFill="accent3" w:themeFillTint="32"/>
            </w:pPr>
            <w:r>
              <w:rPr>
                <w:rFonts w:hint="eastAsia"/>
              </w:rPr>
              <w:t>8.3</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CC4E7D"/>
    <w:multiLevelType w:val="singleLevel"/>
    <w:tmpl w:val="A0CC4E7D"/>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FhOTUxOWU4NmEyZTY3NTg5Zjg0ZDY5NTZmMzA5NGQifQ=="/>
  </w:docVars>
  <w:rsids>
    <w:rsidRoot w:val="00000000"/>
    <w:rsid w:val="293A1F90"/>
    <w:rsid w:val="5F9C44CD"/>
    <w:rsid w:val="69C41FD3"/>
    <w:rsid w:val="6A2B708D"/>
    <w:rsid w:val="6D061C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List Bullet 5"/>
    <w:basedOn w:val="1"/>
    <w:semiHidden/>
    <w:unhideWhenUsed/>
    <w:qFormat/>
    <w:uiPriority w:val="99"/>
    <w:pPr>
      <w:numPr>
        <w:ilvl w:val="0"/>
        <w:numId w:val="1"/>
      </w:numPr>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23601</Words>
  <Characters>24496</Characters>
  <Lines>191</Lines>
  <Paragraphs>53</Paragraphs>
  <TotalTime>62</TotalTime>
  <ScaleCrop>false</ScaleCrop>
  <LinksUpToDate>false</LinksUpToDate>
  <CharactersWithSpaces>24650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开门大吉～ISO认证服务</cp:lastModifiedBy>
  <cp:lastPrinted>2019-05-13T03:19:00Z</cp:lastPrinted>
  <dcterms:modified xsi:type="dcterms:W3CDTF">2022-09-13T02:27:45Z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