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涉及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条款</w:t>
            </w: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受审核部门：</w:t>
            </w:r>
            <w:bookmarkStart w:id="0" w:name="组织名称"/>
            <w:r>
              <w:rPr>
                <w:rFonts w:hint="eastAsia"/>
                <w:color w:val="000000"/>
                <w:sz w:val="24"/>
                <w:szCs w:val="24"/>
              </w:rPr>
              <w:t>张家港保税区长江国际港务有限公司</w:t>
            </w:r>
            <w:bookmarkEnd w:id="0"/>
            <w:r>
              <w:rPr>
                <w:rFonts w:hint="eastAsia"/>
                <w:color w:val="000000"/>
                <w:sz w:val="24"/>
                <w:szCs w:val="24"/>
              </w:rPr>
              <w:t xml:space="preserve">          陪同人员：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匡小斌、李萍</w:t>
            </w:r>
            <w:bookmarkStart w:id="6" w:name="_GoBack"/>
            <w:bookmarkEnd w:id="6"/>
            <w:r>
              <w:rPr>
                <w:rFonts w:hint="eastAsi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="120"/>
              <w:rPr>
                <w:color w:val="000000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审核员：</w:t>
            </w:r>
            <w:bookmarkStart w:id="1" w:name="审核组成员不含组长"/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周涛、</w:t>
            </w:r>
            <w:r>
              <w:rPr>
                <w:rFonts w:hint="eastAsia"/>
                <w:color w:val="000000"/>
                <w:sz w:val="24"/>
                <w:szCs w:val="24"/>
              </w:rPr>
              <w:t>李丽英</w:t>
            </w:r>
            <w:bookmarkEnd w:id="1"/>
            <w:r>
              <w:rPr>
                <w:rFonts w:hint="eastAsia"/>
                <w:color w:val="000000"/>
                <w:sz w:val="24"/>
                <w:szCs w:val="24"/>
              </w:rPr>
              <w:t xml:space="preserve">      审核时间：</w:t>
            </w:r>
            <w:bookmarkStart w:id="2" w:name="审核日期"/>
            <w:r>
              <w:rPr>
                <w:color w:val="000000"/>
              </w:rPr>
              <w:t>2022年09月17日 上午至2022年09月17日 下午</w:t>
            </w:r>
            <w:bookmarkEnd w:id="2"/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审核条款：略</w:t>
            </w:r>
          </w:p>
        </w:tc>
        <w:tc>
          <w:tcPr>
            <w:tcW w:w="1585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合同基本信息确认</w:t>
            </w:r>
            <w:r>
              <w:rPr>
                <w:color w:val="000000"/>
                <w:szCs w:val="18"/>
                <w:shd w:val="pct10" w:color="auto" w:fill="FFFFFF"/>
              </w:rPr>
              <w:t>: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核对资质证书（营业执照、生产（安全）许可证、行业许可证、3C证书等</w:t>
            </w:r>
            <w:r>
              <w:rPr>
                <w:rFonts w:hint="eastAsia"/>
                <w:color w:val="000000"/>
                <w:szCs w:val="18"/>
              </w:rPr>
              <w:t>）</w:t>
            </w:r>
            <w:r>
              <w:rPr>
                <w:rFonts w:hint="eastAsia"/>
                <w:b/>
                <w:bCs/>
                <w:color w:val="000000"/>
              </w:rPr>
              <w:t>原件</w:t>
            </w:r>
            <w:r>
              <w:rPr>
                <w:rFonts w:hint="eastAsia"/>
                <w:color w:val="000000"/>
              </w:rPr>
              <w:t>和复印件</w:t>
            </w:r>
            <w:r>
              <w:rPr>
                <w:color w:val="000000"/>
              </w:rPr>
              <w:t>/</w:t>
            </w:r>
            <w:r>
              <w:rPr>
                <w:rFonts w:hint="eastAsia"/>
                <w:color w:val="000000"/>
              </w:rPr>
              <w:t>扫描件的一致性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《营业执照》</w:t>
            </w:r>
            <w:r>
              <w:rPr>
                <w:rFonts w:hint="eastAsia"/>
                <w:color w:val="000000"/>
                <w:szCs w:val="21"/>
              </w:rPr>
              <w:t>——：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：91320592727429211B ；</w:t>
            </w:r>
            <w:r>
              <w:rPr>
                <w:rFonts w:hint="eastAsia"/>
                <w:color w:val="000000"/>
                <w:szCs w:val="21"/>
              </w:rPr>
              <w:t xml:space="preserve"> 有效期</w:t>
            </w:r>
            <w:r>
              <w:rPr>
                <w:rFonts w:hint="eastAsia"/>
                <w:color w:val="000000"/>
                <w:szCs w:val="21"/>
                <w:u w:val="single"/>
              </w:rPr>
              <w:t>：2001-04-18 至 无固定期限；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</w:rPr>
              <w:t>区内管道装卸运输、仓储(危险化学品限安全监督管理部门核准的范围经营)、货物中转、装卸；货物或技术进出口（国家禁止或涉及行政审批的货物和技术进出口除外）；与贸易有关的代理业务、提供劳务服务；增值电信服务：信息服务业务（仅限互联网信息服务），不含信息搜索查询服务、信息社区服务、信息即时交互服务和信息保护和加工处理服务；在线数据处理与交易处理业务（仅限经营类电子商务），不含网络借贷信息中介类的互联网金融业务；网络技术研发及系统集成；计算机软件开发、销售；互联网信息服务。（依法须经批准的项目，经相关部门批准后方可开展经营活动）；</w:t>
            </w:r>
          </w:p>
          <w:p>
            <w:pPr>
              <w:spacing w:line="440" w:lineRule="exact"/>
              <w:ind w:firstLine="420" w:firstLineChars="200"/>
              <w:rPr>
                <w:rFonts w:hint="eastAsia"/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认证申请范围：</w:t>
            </w:r>
            <w:bookmarkStart w:id="3" w:name="审核范围"/>
            <w:r>
              <w:rPr>
                <w:rFonts w:hint="eastAsia"/>
                <w:color w:val="000000"/>
                <w:szCs w:val="21"/>
                <w:u w:val="single"/>
              </w:rPr>
              <w:t>资质范围内液体散装化工品（危险化学品除外）的仓储服务(包括接卸、保管、发货) 所涉及的能源管理活动</w:t>
            </w:r>
            <w:bookmarkEnd w:id="3"/>
            <w:r>
              <w:rPr>
                <w:rFonts w:hint="eastAsia"/>
                <w:color w:val="000000"/>
                <w:szCs w:val="21"/>
                <w:u w:val="single"/>
              </w:rPr>
              <w:t>；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同上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现场检查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《</w:t>
            </w:r>
            <w:r>
              <w:rPr>
                <w:rFonts w:hint="eastAsia"/>
                <w:b/>
                <w:bCs/>
                <w:color w:val="000000"/>
                <w:szCs w:val="21"/>
                <w:lang w:val="en-US" w:eastAsia="zh-CN"/>
              </w:rPr>
              <w:t>中华人民共和国港口经营许可证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许可证》</w:t>
            </w:r>
            <w:r>
              <w:rPr>
                <w:rFonts w:hint="eastAsia"/>
                <w:color w:val="000000"/>
                <w:szCs w:val="21"/>
              </w:rPr>
              <w:t>——：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正本 </w:t>
            </w:r>
            <w:r>
              <w:rPr>
                <w:rFonts w:hint="eastAsia"/>
                <w:color w:val="000000"/>
                <w:szCs w:val="21"/>
              </w:rPr>
              <w:t>□副本； 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原件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扫描</w:t>
            </w:r>
            <w:r>
              <w:rPr>
                <w:rFonts w:hint="eastAsia"/>
                <w:color w:val="000000"/>
                <w:szCs w:val="21"/>
              </w:rPr>
              <w:t>件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编号</w:t>
            </w:r>
            <w:r>
              <w:rPr>
                <w:rFonts w:hint="eastAsia"/>
                <w:color w:val="000000"/>
                <w:szCs w:val="21"/>
                <w:u w:val="single"/>
              </w:rPr>
              <w:t>：</w:t>
            </w:r>
            <w:r>
              <w:rPr>
                <w:rFonts w:hint="eastAsia"/>
                <w:color w:val="000000"/>
                <w:szCs w:val="21"/>
                <w:u w:val="single"/>
                <w:lang w:eastAsia="zh-CN"/>
              </w:rPr>
              <w:t>（</w:t>
            </w:r>
            <w:r>
              <w:rPr>
                <w:rFonts w:hint="eastAsia"/>
                <w:color w:val="000000"/>
                <w:szCs w:val="21"/>
                <w:u w:val="single"/>
                <w:lang w:val="en-US" w:eastAsia="zh-CN"/>
              </w:rPr>
              <w:t>苏苏张宝）（沿江）港经证（0011）号</w:t>
            </w:r>
            <w:r>
              <w:rPr>
                <w:rFonts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hint="eastAsia"/>
                <w:color w:val="000000"/>
                <w:szCs w:val="21"/>
              </w:rPr>
              <w:t>； 有效期：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至2025年8月21日</w:t>
            </w:r>
            <w:r>
              <w:rPr>
                <w:rFonts w:hint="eastAsia"/>
                <w:color w:val="000000"/>
                <w:szCs w:val="21"/>
              </w:rPr>
              <w:t>；</w:t>
            </w:r>
          </w:p>
          <w:p>
            <w:pPr>
              <w:spacing w:line="440" w:lineRule="exact"/>
              <w:ind w:firstLine="420" w:firstLineChars="200"/>
              <w:rPr>
                <w:color w:val="000000"/>
                <w:szCs w:val="21"/>
                <w:u w:val="single"/>
              </w:rPr>
            </w:pPr>
          </w:p>
          <w:p>
            <w:pPr>
              <w:spacing w:line="440" w:lineRule="exact"/>
              <w:rPr>
                <w:rFonts w:hint="default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</w:rPr>
              <w:t>经营范围的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相关描述</w:t>
            </w:r>
            <w:r>
              <w:rPr>
                <w:rFonts w:hint="eastAsia"/>
                <w:color w:val="000000"/>
                <w:szCs w:val="21"/>
              </w:rPr>
              <w:t>：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在港区内提供危险货物装卸、仓储服务、为船舶提供码头设施服务。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证件有效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证件失效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范围合规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超出范围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确定审核范围的合理性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注册地址：</w:t>
            </w:r>
            <w:bookmarkStart w:id="4" w:name="注册地址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张家港保税物流园区内</w:t>
            </w:r>
            <w:bookmarkEnd w:id="4"/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与《营业执照》和《XX许可证》内容一致。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经营地址：</w:t>
            </w:r>
            <w:bookmarkStart w:id="5" w:name="生产地址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苏州港张家港港区化学工业园作业区张家港长江国际化工码头1#（含3#）、2#泊位、内河泊位；1-9号罐区</w:t>
            </w:r>
            <w:bookmarkEnd w:id="5"/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与生产或服务现场一致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确定多现场（固定）的地址（适用时）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多现场的名称和具体位置：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张家港保税物流园区内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苏州港张家港港区化学工业园作业区张家港长江国际化工码头1#（含3#）、2#泊位、内河泊位；1-9号罐区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多场所申报清单</w:t>
            </w:r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确定临时现场的地址（适用时）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临时现场的名称和具体位置：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现场1：</w:t>
            </w:r>
          </w:p>
          <w:p>
            <w:pPr>
              <w:rPr>
                <w:color w:val="000000"/>
                <w:szCs w:val="21"/>
                <w:u w:val="single"/>
              </w:rPr>
            </w:pPr>
            <w:r>
              <w:rPr>
                <w:rFonts w:hint="eastAsia"/>
                <w:color w:val="000000"/>
              </w:rPr>
              <w:t>现场</w:t>
            </w:r>
            <w:r>
              <w:rPr>
                <w:color w:val="000000"/>
              </w:rPr>
              <w:t>2</w:t>
            </w:r>
            <w:r>
              <w:rPr>
                <w:rFonts w:hint="eastAsia"/>
                <w:color w:val="000000"/>
              </w:rPr>
              <w:t>：</w:t>
            </w:r>
          </w:p>
          <w:p>
            <w:pPr>
              <w:rPr>
                <w:color w:val="000000"/>
                <w:szCs w:val="21"/>
                <w:u w:val="single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确定建设单位的在建项目清单（仅限建工QMS）与申请时提供的《</w:t>
            </w:r>
            <w:r>
              <w:rPr>
                <w:rFonts w:hint="eastAsia" w:ascii="宋体" w:hAnsi="宋体"/>
                <w:bCs/>
                <w:color w:val="000000"/>
                <w:szCs w:val="21"/>
              </w:rPr>
              <w:t>企业在建项目清单</w:t>
            </w:r>
            <w:r>
              <w:rPr>
                <w:rFonts w:hint="eastAsia"/>
                <w:color w:val="000000"/>
              </w:rPr>
              <w:t>》是否一致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与组织总部在同一管理体系下运行     </w:t>
            </w:r>
          </w:p>
          <w:p>
            <w:pPr>
              <w:rPr>
                <w:color w:val="000000"/>
              </w:rPr>
            </w:pPr>
            <w:r>
              <w:rPr>
                <w:rFonts w:hint="eastAsia"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组织总部有权对</w:t>
            </w:r>
            <w:r>
              <w:t>多场所</w:t>
            </w:r>
            <w:r>
              <w:rPr>
                <w:rFonts w:hint="eastAsia"/>
              </w:rPr>
              <w:t>/临时场所进行监督管理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按照统一安排实施内部审核（不强制同一时段）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与组织总部一同进行管理评审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确定生产/服务流程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</w:rPr>
              <w:t>生产/服务流程图：</w:t>
            </w:r>
          </w:p>
          <w:p>
            <w:pPr>
              <w:rPr>
                <w:color w:val="000000"/>
                <w:szCs w:val="18"/>
              </w:rPr>
            </w:pPr>
            <w:r>
              <w:drawing>
                <wp:inline distT="0" distB="0" distL="114300" distR="114300">
                  <wp:extent cx="5924550" cy="4606290"/>
                  <wp:effectExtent l="0" t="0" r="6350" b="381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460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内容一致</w:t>
            </w:r>
          </w:p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内容不同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3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确定有效的员工人数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认证范围内管理体系覆盖的人数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157</w:t>
            </w:r>
            <w:r>
              <w:rPr>
                <w:rFonts w:hint="eastAsia"/>
                <w:color w:val="000000"/>
                <w:szCs w:val="21"/>
              </w:rPr>
              <w:t>（总计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291</w:t>
            </w:r>
            <w:r>
              <w:rPr>
                <w:rFonts w:hint="eastAsia"/>
                <w:color w:val="000000"/>
                <w:szCs w:val="21"/>
              </w:rPr>
              <w:t>人）　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管理人员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21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；操作人员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136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；劳务派遣人员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；临时工</w:t>
            </w:r>
            <w:r>
              <w:rPr>
                <w:rFonts w:hint="eastAsia"/>
                <w:color w:val="000000"/>
                <w:szCs w:val="21"/>
              </w:rPr>
              <w:t>人</w:t>
            </w:r>
            <w:r>
              <w:rPr>
                <w:rFonts w:hint="eastAsia"/>
                <w:color w:val="000000"/>
                <w:szCs w:val="18"/>
              </w:rPr>
              <w:t>；</w:t>
            </w:r>
            <w:r>
              <w:rPr>
                <w:rFonts w:hint="eastAsia"/>
                <w:color w:val="000000"/>
                <w:szCs w:val="21"/>
              </w:rPr>
              <w:t>季节工人</w:t>
            </w:r>
            <w:r>
              <w:rPr>
                <w:rFonts w:hint="eastAsia"/>
                <w:color w:val="000000"/>
                <w:szCs w:val="18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与申请一致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与申请不同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生产/服务的班次</w:t>
            </w:r>
          </w:p>
          <w:p>
            <w:pPr>
              <w:rPr>
                <w:color w:val="000000"/>
                <w:szCs w:val="18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□单班（例如：</w:t>
            </w:r>
            <w:r>
              <w:rPr>
                <w:color w:val="000000"/>
                <w:szCs w:val="21"/>
              </w:rPr>
              <w:t>8:00- 12 :00</w:t>
            </w:r>
            <w:r>
              <w:rPr>
                <w:rFonts w:hint="eastAsia"/>
                <w:color w:val="000000"/>
                <w:szCs w:val="21"/>
              </w:rPr>
              <w:t>；</w:t>
            </w:r>
            <w:r>
              <w:rPr>
                <w:color w:val="000000"/>
                <w:szCs w:val="21"/>
              </w:rPr>
              <w:t>13 :00- 17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双班（例如：早班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；）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color w:val="000000"/>
                <w:szCs w:val="21"/>
              </w:rPr>
              <w:t>三班（例如：早班</w:t>
            </w:r>
            <w:r>
              <w:rPr>
                <w:color w:val="000000"/>
                <w:szCs w:val="21"/>
              </w:rPr>
              <w:t>8:00- 16 :00</w:t>
            </w:r>
            <w:r>
              <w:rPr>
                <w:rFonts w:hint="eastAsia"/>
                <w:color w:val="000000"/>
                <w:szCs w:val="21"/>
              </w:rPr>
              <w:t>；晚班</w:t>
            </w:r>
            <w:r>
              <w:rPr>
                <w:color w:val="000000"/>
                <w:szCs w:val="21"/>
              </w:rPr>
              <w:t>16 :00- 24 :00</w:t>
            </w:r>
            <w:r>
              <w:rPr>
                <w:rFonts w:hint="eastAsia"/>
                <w:color w:val="000000"/>
                <w:szCs w:val="21"/>
              </w:rPr>
              <w:t>；夜班</w:t>
            </w:r>
            <w:r>
              <w:rPr>
                <w:color w:val="000000"/>
                <w:szCs w:val="21"/>
              </w:rPr>
              <w:t>24 :00-</w:t>
            </w:r>
            <w:r>
              <w:rPr>
                <w:rFonts w:hint="eastAsia"/>
                <w:color w:val="000000"/>
                <w:szCs w:val="21"/>
              </w:rPr>
              <w:t>次日</w:t>
            </w:r>
            <w:r>
              <w:rPr>
                <w:color w:val="000000"/>
                <w:szCs w:val="21"/>
              </w:rPr>
              <w:t xml:space="preserve"> 08 :00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体系运行时间是否满足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18"/>
              </w:rPr>
              <w:t>个月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管理手册发布的时间：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Cs w:val="18"/>
              </w:rPr>
              <w:t>日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至今管理体系已运行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个月以上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至今管理体系运行不足</w:t>
            </w:r>
            <w:r>
              <w:rPr>
                <w:rFonts w:hint="eastAsia"/>
                <w:color w:val="000000"/>
                <w:lang w:val="en-US" w:eastAsia="zh-CN"/>
              </w:rPr>
              <w:t>6</w:t>
            </w:r>
            <w:r>
              <w:rPr>
                <w:rFonts w:hint="eastAsia"/>
                <w:color w:val="000000"/>
              </w:rPr>
              <w:t>个月以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组织对相关标准的宣贯培训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标准宣贯的时间：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9</w:t>
            </w:r>
            <w:r>
              <w:rPr>
                <w:rFonts w:hint="eastAsia"/>
                <w:color w:val="000000"/>
                <w:szCs w:val="18"/>
              </w:rPr>
              <w:t>日</w:t>
            </w:r>
          </w:p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□QMS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E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n</w:t>
            </w:r>
            <w:r>
              <w:rPr>
                <w:rFonts w:hint="eastAsia"/>
                <w:color w:val="000000"/>
                <w:szCs w:val="21"/>
              </w:rPr>
              <w:t xml:space="preserve">MS  □OHSMS  □FSMSMS  □HACCP  </w:t>
            </w:r>
          </w:p>
          <w:p>
            <w:pPr>
              <w:rPr>
                <w:color w:val="000000"/>
                <w:szCs w:val="21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已培训了相关标准和内审员知识；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至今未培训相关标准和内审员知识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员工对相关标准的认知和能力（应知应会、持证上岗等）</w:t>
            </w:r>
            <w:r>
              <w:rPr>
                <w:rFonts w:hint="eastAsia"/>
                <w:color w:val="000000"/>
                <w:szCs w:val="21"/>
              </w:rPr>
              <w:t>□满足要求，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基本满足要求，□不满足要求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了解企业基本情况：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主要的内部环境和外部环境分析的充分性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主要的相关方和期望的充分性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u w:val="single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确定风险的识别和评价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组织机构设置、职责分配及沟通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已实施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不充分，需要完善： </w:t>
            </w:r>
          </w:p>
          <w:p>
            <w:pPr>
              <w:widowControl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确定外部提供过程、产品和服务（外包过程）：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被主管部门处罚和曝光情况</w:t>
            </w:r>
          </w:p>
          <w:p>
            <w:pPr>
              <w:widowControl/>
              <w:ind w:firstLine="420" w:firstLineChars="200"/>
              <w:jc w:val="left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已发生，说明： </w:t>
            </w:r>
          </w:p>
          <w:p>
            <w:pPr>
              <w:widowControl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其他机构转入情况（适用时）</w:t>
            </w:r>
          </w:p>
          <w:p>
            <w:pPr>
              <w:ind w:firstLine="210" w:firstLineChars="100"/>
              <w:rPr>
                <w:color w:val="000000"/>
                <w:szCs w:val="18"/>
                <w:highlight w:val="cyan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已收集到以往的不符合项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未收集到以往的不符合项 ，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color w:val="000000"/>
                <w:szCs w:val="18"/>
                <w:shd w:val="pct10" w:color="auto" w:fill="FFFFFF"/>
              </w:rPr>
              <w:t>与最高管理者了解各</w:t>
            </w: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管理体系的运行情况：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组织文件化的管理方针已制定，内容为：</w:t>
            </w:r>
          </w:p>
          <w:p>
            <w:pPr>
              <w:widowControl/>
              <w:spacing w:before="40"/>
              <w:jc w:val="left"/>
              <w:rPr>
                <w:color w:val="000000"/>
                <w:spacing w:val="-2"/>
                <w:szCs w:val="21"/>
              </w:rPr>
            </w:pPr>
            <w:r>
              <w:rPr>
                <w:rFonts w:hint="eastAsia"/>
                <w:color w:val="000000"/>
                <w:szCs w:val="18"/>
              </w:rPr>
              <w:t>贯彻情况：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pacing w:val="-2"/>
                <w:szCs w:val="21"/>
              </w:rPr>
              <w:t>文件发放</w:t>
            </w:r>
            <w:r>
              <w:rPr>
                <w:rFonts w:hint="eastAsia"/>
                <w:color w:val="000000"/>
                <w:szCs w:val="21"/>
              </w:rPr>
              <w:t>□标语 □</w:t>
            </w:r>
            <w:r>
              <w:rPr>
                <w:rFonts w:hint="eastAsia"/>
                <w:color w:val="000000"/>
                <w:spacing w:val="-2"/>
                <w:szCs w:val="21"/>
              </w:rPr>
              <w:t>展板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网站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员工手册</w:t>
            </w:r>
            <w:r>
              <w:rPr>
                <w:rFonts w:hint="eastAsia"/>
                <w:color w:val="000000"/>
                <w:szCs w:val="21"/>
              </w:rPr>
              <w:t>□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</w:p>
          <w:p>
            <w:pPr>
              <w:widowControl/>
              <w:spacing w:before="40"/>
              <w:jc w:val="left"/>
              <w:rPr>
                <w:rFonts w:hint="eastAsia"/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组织文件化的管理目标已制定，内容为：</w:t>
            </w:r>
          </w:p>
          <w:tbl>
            <w:tblPr>
              <w:tblStyle w:val="9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43"/>
              <w:gridCol w:w="1387"/>
              <w:gridCol w:w="3499"/>
              <w:gridCol w:w="244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目标</w:t>
                  </w:r>
                </w:p>
              </w:tc>
              <w:tc>
                <w:tcPr>
                  <w:tcW w:w="1387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考核频次</w:t>
                  </w:r>
                </w:p>
              </w:tc>
              <w:tc>
                <w:tcPr>
                  <w:tcW w:w="3499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计算方法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完成情况（审核周期）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443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单位吞吐量能耗为≦</w:t>
                  </w:r>
                  <w:r>
                    <w:rPr>
                      <w:rFonts w:hint="eastAsia" w:ascii="宋体" w:hAnsi="宋体"/>
                      <w:szCs w:val="21"/>
                      <w:lang w:val="en-US" w:eastAsia="zh-CN"/>
                    </w:rPr>
                    <w:t>1484.49kgce/万吨</w:t>
                  </w:r>
                </w:p>
              </w:tc>
              <w:tc>
                <w:tcPr>
                  <w:tcW w:w="1387" w:type="dxa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按年考核</w:t>
                  </w:r>
                </w:p>
              </w:tc>
              <w:tc>
                <w:tcPr>
                  <w:tcW w:w="3499" w:type="dxa"/>
                  <w:vAlign w:val="top"/>
                </w:tcPr>
                <w:p>
                  <w:pPr>
                    <w:widowControl/>
                    <w:spacing w:before="40"/>
                    <w:jc w:val="left"/>
                    <w:rPr>
                      <w:rFonts w:hint="default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综合能耗/吞吐量</w:t>
                  </w:r>
                </w:p>
              </w:tc>
              <w:tc>
                <w:tcPr>
                  <w:tcW w:w="2444" w:type="dxa"/>
                </w:tcPr>
                <w:p>
                  <w:pPr>
                    <w:widowControl/>
                    <w:spacing w:before="40"/>
                    <w:jc w:val="left"/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szCs w:val="18"/>
                      <w:highlight w:val="none"/>
                      <w:lang w:val="en-US" w:eastAsia="zh-CN"/>
                    </w:rPr>
                    <w:t>单位吞吐量能耗为</w:t>
                  </w:r>
                  <w:r>
                    <w:rPr>
                      <w:rFonts w:hint="eastAsia" w:ascii="宋体" w:hAnsi="宋体" w:eastAsia="宋体" w:cs="Times New Roman"/>
                      <w:szCs w:val="21"/>
                      <w:lang w:val="en-US" w:eastAsia="zh-CN"/>
                    </w:rPr>
                    <w:t>1489.51kgce/万吨</w:t>
                  </w:r>
                </w:p>
              </w:tc>
            </w:tr>
          </w:tbl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4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文件化体系策划情况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组织的文件化体系的结构——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-《管理手册》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</w:t>
            </w:r>
            <w:r>
              <w:rPr>
                <w:rFonts w:hint="eastAsia"/>
                <w:color w:val="000000"/>
                <w:szCs w:val="18"/>
              </w:rPr>
              <w:t xml:space="preserve">份；覆盖了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QMS </w:t>
            </w:r>
            <w:r>
              <w:rPr>
                <w:rFonts w:hint="eastAsia"/>
                <w:color w:val="000000"/>
                <w:szCs w:val="21"/>
              </w:rPr>
              <w:t>□5</w:t>
            </w:r>
            <w:r>
              <w:rPr>
                <w:color w:val="000000"/>
                <w:szCs w:val="21"/>
              </w:rPr>
              <w:t xml:space="preserve">0430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color w:val="000000"/>
                <w:spacing w:val="-2"/>
                <w:szCs w:val="21"/>
              </w:rPr>
              <w:t>E</w:t>
            </w:r>
            <w:r>
              <w:rPr>
                <w:rFonts w:hint="eastAsia"/>
                <w:color w:val="000000"/>
                <w:spacing w:val="-2"/>
                <w:szCs w:val="21"/>
                <w:lang w:val="en-US" w:eastAsia="zh-CN"/>
              </w:rPr>
              <w:t>n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color w:val="000000"/>
                <w:spacing w:val="-2"/>
                <w:szCs w:val="21"/>
              </w:rPr>
              <w:t xml:space="preserve">OHSMS 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FS</w:t>
            </w:r>
            <w:r>
              <w:rPr>
                <w:color w:val="000000"/>
                <w:spacing w:val="-2"/>
                <w:szCs w:val="21"/>
              </w:rPr>
              <w:t xml:space="preserve">MS </w:t>
            </w: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  <w:spacing w:val="-2"/>
                <w:szCs w:val="21"/>
              </w:rPr>
              <w:t>HACCP</w:t>
            </w:r>
          </w:p>
          <w:p>
            <w:pPr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</w:rPr>
              <w:t>-文件化的程序；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23</w:t>
            </w:r>
            <w:r>
              <w:rPr>
                <w:rFonts w:hint="eastAsia"/>
                <w:color w:val="000000"/>
                <w:szCs w:val="18"/>
              </w:rPr>
              <w:t>份；详见《受控文件清单》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-作业文件；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若干</w:t>
            </w:r>
            <w:r>
              <w:rPr>
                <w:rFonts w:hint="eastAsia"/>
                <w:color w:val="000000"/>
                <w:szCs w:val="18"/>
              </w:rPr>
              <w:t>份；详见《受控文件清单》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-记录表格；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若干</w:t>
            </w:r>
            <w:r>
              <w:rPr>
                <w:rFonts w:hint="eastAsia"/>
                <w:color w:val="000000"/>
                <w:szCs w:val="18"/>
              </w:rPr>
              <w:t>份；详见《记录清单》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内审的策划和实施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管理体系的评审</w:t>
            </w:r>
          </w:p>
          <w:p>
            <w:pPr>
              <w:widowControl/>
              <w:spacing w:before="40"/>
              <w:jc w:val="left"/>
              <w:rPr>
                <w:b/>
                <w:bCs/>
                <w:color w:val="000000"/>
                <w:szCs w:val="18"/>
                <w:shd w:val="pct10" w:color="auto" w:fill="FFFFFF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Cs w:val="18"/>
              </w:rPr>
              <w:t>日实施了内部审核；记录包括：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18"/>
              </w:rPr>
              <w:t>内审计划、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18"/>
              </w:rPr>
              <w:t>内审检查表、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18"/>
              </w:rPr>
              <w:t>不符合项报告份、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18"/>
              </w:rPr>
              <w:t>内审报告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自管理体系建立后，于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2022</w:t>
            </w:r>
            <w:r>
              <w:rPr>
                <w:rFonts w:hint="eastAsia"/>
                <w:color w:val="000000"/>
                <w:szCs w:val="18"/>
              </w:rPr>
              <w:t>年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6</w:t>
            </w:r>
            <w:r>
              <w:rPr>
                <w:rFonts w:hint="eastAsia"/>
                <w:color w:val="000000"/>
                <w:szCs w:val="18"/>
              </w:rPr>
              <w:t>月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26</w:t>
            </w:r>
            <w:r>
              <w:rPr>
                <w:rFonts w:hint="eastAsia"/>
                <w:color w:val="000000"/>
                <w:szCs w:val="18"/>
              </w:rPr>
              <w:t>日实施了管理评审；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21"/>
              </w:rPr>
              <w:t>管理评审输入</w:t>
            </w:r>
            <w:r>
              <w:rPr>
                <w:rFonts w:hint="eastAsia"/>
                <w:color w:val="000000"/>
                <w:szCs w:val="18"/>
              </w:rPr>
              <w:t>、</w:t>
            </w: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  <w:szCs w:val="18"/>
              </w:rPr>
              <w:t>管理评审输出（报告）</w:t>
            </w:r>
          </w:p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  <w:lang w:eastAsia="zh-CN"/>
              </w:rPr>
              <w:t>☑</w:t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jc w:val="left"/>
              <w:rPr>
                <w:color w:val="000000"/>
                <w:szCs w:val="18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EnMS运行情况：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rFonts w:hint="default" w:eastAsia="宋体"/>
                <w:color w:val="0000FF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根据</w:t>
            </w:r>
            <w:r>
              <w:rPr>
                <w:rFonts w:hint="eastAsia"/>
                <w:color w:val="000000"/>
              </w:rPr>
              <w:t>该企业的产品/服务特性</w:t>
            </w:r>
            <w:r>
              <w:rPr>
                <w:rFonts w:hint="eastAsia"/>
                <w:color w:val="000000"/>
                <w:szCs w:val="18"/>
              </w:rPr>
              <w:t>确认能源消耗的种类：</w:t>
            </w:r>
            <w:r>
              <w:rPr>
                <w:rFonts w:hint="eastAsia"/>
                <w:color w:val="0000FF"/>
                <w:szCs w:val="18"/>
                <w:lang w:val="en-US" w:eastAsia="zh-CN"/>
              </w:rPr>
              <w:t>电、水、</w:t>
            </w:r>
            <w:r>
              <w:rPr>
                <w:rFonts w:hint="eastAsia"/>
                <w:color w:val="0000FF"/>
                <w:szCs w:val="18"/>
                <w:highlight w:val="none"/>
                <w:lang w:val="en-US" w:eastAsia="zh-CN"/>
              </w:rPr>
              <w:t>氮气、汽油（办公用车）和柴油（应急柴油发电机）</w:t>
            </w:r>
          </w:p>
          <w:p>
            <w:pPr>
              <w:rPr>
                <w:color w:val="000000"/>
                <w:szCs w:val="18"/>
                <w:highlight w:val="magenta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重点</w:t>
            </w:r>
            <w:r>
              <w:rPr>
                <w:rFonts w:hint="eastAsia"/>
                <w:color w:val="000000"/>
                <w:szCs w:val="18"/>
              </w:rPr>
              <w:t>用能单位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 xml:space="preserve">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>一般用能单位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其他——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pStyle w:val="2"/>
              <w:rPr>
                <w:color w:val="000000"/>
                <w:szCs w:val="18"/>
              </w:rPr>
            </w:pP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能源目标指标完成情况</w:t>
            </w:r>
            <w:r>
              <w:rPr>
                <w:rFonts w:hint="eastAsia" w:ascii="宋体" w:hAnsi="宋体" w:cs="宋体"/>
                <w:szCs w:val="21"/>
              </w:rPr>
              <w:t>：</w:t>
            </w:r>
          </w:p>
          <w:tbl>
            <w:tblPr>
              <w:tblStyle w:val="9"/>
              <w:tblW w:w="978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06"/>
              <w:gridCol w:w="2258"/>
              <w:gridCol w:w="452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能耗指标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完成情况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说明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国家限额指标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lang w:val="en-US" w:eastAsia="zh-CN"/>
                    </w:rPr>
                    <w:t>不涉及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地方政府下达的指标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lang w:val="en-US" w:eastAsia="zh-CN"/>
                    </w:rPr>
                    <w:t>不涉及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集团或上一级部门下达的指标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t>¨</w:t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lang w:val="en-US" w:eastAsia="zh-CN"/>
                    </w:rPr>
                    <w:t>不涉及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006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hint="eastAsia" w:ascii="宋体" w:hAnsi="宋体" w:cs="宋体"/>
                      <w:szCs w:val="21"/>
                    </w:rPr>
                    <w:t>本单位制定的目标指标</w:t>
                  </w:r>
                </w:p>
              </w:tc>
              <w:tc>
                <w:tcPr>
                  <w:tcW w:w="2258" w:type="dxa"/>
                </w:tcPr>
                <w:p>
                  <w:pPr>
                    <w:rPr>
                      <w:rFonts w:ascii="宋体" w:hAnsi="宋体" w:cs="宋体"/>
                      <w:szCs w:val="21"/>
                    </w:rPr>
                  </w:pPr>
                  <w:r>
                    <w:rPr>
                      <w:rFonts w:ascii="Wingdings" w:hAnsi="Wingdings"/>
                      <w:szCs w:val="21"/>
                    </w:rPr>
                    <w:sym w:font="Wingdings" w:char="00A8"/>
                  </w:r>
                  <w:r>
                    <w:rPr>
                      <w:rFonts w:hint="eastAsia"/>
                      <w:szCs w:val="21"/>
                    </w:rPr>
                    <w:t xml:space="preserve">已完成  </w:t>
                  </w:r>
                  <w:r>
                    <w:rPr>
                      <w:rFonts w:ascii="Wingdings" w:hAnsi="Wingdings"/>
                      <w:szCs w:val="21"/>
                    </w:rPr>
                    <w:sym w:font="Wingdings" w:char="00FE"/>
                  </w:r>
                  <w:r>
                    <w:rPr>
                      <w:rFonts w:hint="eastAsia"/>
                      <w:szCs w:val="21"/>
                    </w:rPr>
                    <w:t xml:space="preserve">未完成   </w:t>
                  </w:r>
                </w:p>
              </w:tc>
              <w:tc>
                <w:tcPr>
                  <w:tcW w:w="4524" w:type="dxa"/>
                </w:tcPr>
                <w:p>
                  <w:pPr>
                    <w:rPr>
                      <w:rFonts w:hint="default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Cs w:val="21"/>
                      <w:lang w:val="en-US" w:eastAsia="zh-CN"/>
                    </w:rPr>
                    <w:t>2021年未完成</w:t>
                  </w:r>
                </w:p>
              </w:tc>
            </w:tr>
          </w:tbl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现有产量与能源评估的产能的对比</w:t>
            </w:r>
          </w:p>
          <w:p>
            <w:pPr>
              <w:rPr>
                <w:rFonts w:hint="eastAsia"/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现有产量：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</w:t>
            </w:r>
            <w:r>
              <w:rPr>
                <w:rFonts w:hint="eastAsia"/>
                <w:color w:val="0000FF"/>
                <w:szCs w:val="18"/>
                <w:highlight w:val="none"/>
                <w:u w:val="single"/>
                <w:lang w:val="en-US" w:eastAsia="zh-CN"/>
              </w:rPr>
              <w:t>2021年</w:t>
            </w:r>
            <w:r>
              <w:rPr>
                <w:rFonts w:hint="eastAsia" w:ascii="宋体" w:hAnsi="宋体" w:eastAsia="宋体" w:cs="Times New Roman"/>
                <w:color w:val="0000FF"/>
                <w:szCs w:val="21"/>
                <w:highlight w:val="none"/>
                <w:u w:val="single"/>
                <w:lang w:val="en-US" w:eastAsia="zh-CN"/>
              </w:rPr>
              <w:t>吞吐量为395.566万吨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；</w:t>
            </w:r>
            <w:r>
              <w:rPr>
                <w:rFonts w:hint="eastAsia"/>
                <w:color w:val="000000"/>
                <w:szCs w:val="18"/>
              </w:rPr>
              <w:t xml:space="preserve"> 能评的产能：</w:t>
            </w:r>
          </w:p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  <w:szCs w:val="18"/>
              </w:rPr>
              <w:t>未超出产能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已</w:t>
            </w:r>
            <w:r>
              <w:rPr>
                <w:rFonts w:hint="eastAsia"/>
                <w:color w:val="000000"/>
                <w:szCs w:val="18"/>
              </w:rPr>
              <w:t>超出产能</w:t>
            </w:r>
            <w:r>
              <w:rPr>
                <w:rFonts w:hint="eastAsia"/>
                <w:color w:val="000000"/>
              </w:rPr>
              <w:t>，说明：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查看</w:t>
            </w:r>
            <w:r>
              <w:rPr>
                <w:rFonts w:hint="eastAsia"/>
                <w:color w:val="000000"/>
                <w:szCs w:val="18"/>
              </w:rPr>
              <w:t>合规性证明</w:t>
            </w: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节能评估报告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 xml:space="preserve">无  </w:t>
            </w:r>
            <w:r>
              <w:rPr>
                <w:rFonts w:hint="eastAsia"/>
                <w:color w:val="000000"/>
                <w:szCs w:val="18"/>
              </w:rPr>
              <w:t>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节能项目验收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u w:val="single"/>
              </w:rPr>
            </w:pPr>
            <w:r>
              <w:rPr>
                <w:color w:val="000000"/>
                <w:szCs w:val="18"/>
              </w:rPr>
              <w:t>《</w:t>
            </w:r>
            <w:r>
              <w:rPr>
                <w:rFonts w:hint="eastAsia"/>
              </w:rPr>
              <w:t>能源审计报告</w:t>
            </w:r>
            <w:r>
              <w:rPr>
                <w:color w:val="000000"/>
                <w:szCs w:val="18"/>
              </w:rPr>
              <w:t>》</w:t>
            </w:r>
            <w:r>
              <w:rPr>
                <w:rFonts w:hint="eastAsia"/>
                <w:color w:val="000000"/>
                <w:szCs w:val="18"/>
              </w:rPr>
              <w:t>编号：日期：</w:t>
            </w:r>
            <w:r>
              <w:rPr>
                <w:rFonts w:hint="eastAsia"/>
                <w:color w:val="000000"/>
                <w:szCs w:val="18"/>
                <w:u w:val="single"/>
              </w:rPr>
              <w:t xml:space="preserve">        年     月     日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结论：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查看主要能源使用的识别的充分性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</w:p>
          <w:p>
            <w:pPr>
              <w:ind w:firstLine="420" w:firstLineChars="200"/>
              <w:rPr>
                <w:rFonts w:hint="default"/>
                <w:color w:val="000000"/>
                <w:u w:val="single"/>
                <w:lang w:val="en-US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>不充分，需要完善：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  <w:szCs w:val="18"/>
              </w:rPr>
              <w:t xml:space="preserve">了解能源基准和能源绩效参数确定的合理性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pStyle w:val="16"/>
              <w:numPr>
                <w:ilvl w:val="0"/>
                <w:numId w:val="2"/>
              </w:numPr>
              <w:ind w:firstLineChars="0"/>
              <w:rPr>
                <w:color w:val="000000"/>
                <w:sz w:val="21"/>
                <w:szCs w:val="18"/>
              </w:rPr>
            </w:pPr>
            <w:r>
              <w:rPr>
                <w:rFonts w:hint="eastAsia"/>
                <w:color w:val="000000"/>
                <w:sz w:val="21"/>
                <w:szCs w:val="18"/>
              </w:rPr>
              <w:t xml:space="preserve">了解能源数据收集的策划的合理性 </w:t>
            </w:r>
            <w:r>
              <w:rPr>
                <w:rFonts w:hint="eastAsia"/>
                <w:color w:val="000000"/>
                <w:sz w:val="21"/>
                <w:szCs w:val="18"/>
                <w:lang w:eastAsia="zh-CN"/>
              </w:rPr>
              <w:t>：</w:t>
            </w:r>
            <w:r>
              <w:rPr>
                <w:rFonts w:hint="eastAsia" w:ascii="Times New Roman" w:hAnsi="Times New Roman" w:eastAsia="宋体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  <w:t>水、电、氮气</w:t>
            </w:r>
            <w:r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  <w:t>、汽油</w:t>
            </w:r>
            <w:r>
              <w:rPr>
                <w:rFonts w:hint="eastAsia" w:ascii="Times New Roman" w:hAnsi="Times New Roman" w:eastAsia="宋体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  <w:t>每月统计</w:t>
            </w:r>
            <w:r>
              <w:rPr>
                <w:rFonts w:hint="eastAsia" w:cs="Times New Roman"/>
                <w:color w:val="0000FF"/>
                <w:kern w:val="2"/>
                <w:sz w:val="21"/>
                <w:szCs w:val="21"/>
                <w:lang w:val="en-US" w:eastAsia="zh-CN" w:bidi="ar-SA"/>
              </w:rPr>
              <w:t>，柴油随时统计</w:t>
            </w:r>
            <w:r>
              <w:rPr>
                <w:rFonts w:hint="eastAsia"/>
                <w:color w:val="000000"/>
                <w:sz w:val="21"/>
                <w:szCs w:val="18"/>
                <w:lang w:val="en-US" w:eastAsia="zh-CN"/>
              </w:rPr>
              <w:t>。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合理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不合理，需要完善： 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-了解适用的能源法律和其他要求的获取、识别和实施情况</w:t>
            </w:r>
          </w:p>
          <w:p>
            <w:pPr>
              <w:ind w:firstLine="420" w:firstLineChars="200"/>
              <w:rPr>
                <w:rFonts w:hint="default"/>
                <w:color w:val="0000FF"/>
                <w:u w:val="single"/>
                <w:lang w:val="en-US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充分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不充分，需要完善</w:t>
            </w:r>
            <w:r>
              <w:rPr>
                <w:rFonts w:hint="eastAsia"/>
                <w:color w:val="0000FF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/>
                <w:color w:val="0000FF"/>
                <w:sz w:val="21"/>
                <w:szCs w:val="21"/>
                <w:highlight w:val="none"/>
                <w:lang w:val="en-US" w:eastAsia="zh-CN"/>
              </w:rPr>
              <w:t>1）RB/T119-2015《能源管理体系 机械制造企业认证要求》、浙江省节约能源条例等不适合本企业；2）《GB/T 13234-2009企业节能量计算方法》已失效未更新；《36713-2018《 能源管理体系 能源基准和能源绩效参数》》未识别是国家标准还是行业标准；3）清单审批人不对。</w:t>
            </w:r>
          </w:p>
          <w:p>
            <w:pPr>
              <w:ind w:firstLine="420" w:firstLineChars="200"/>
              <w:rPr>
                <w:color w:val="000000"/>
                <w:u w:val="single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了解企业进行合规性评价的有效性 </w:t>
            </w:r>
          </w:p>
          <w:p>
            <w:pPr>
              <w:ind w:firstLine="420" w:firstLineChars="200"/>
              <w:rPr>
                <w:rFonts w:hint="default" w:eastAsia="宋体"/>
                <w:color w:val="000000"/>
                <w:u w:val="single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不足，需要完善： </w:t>
            </w:r>
            <w:r>
              <w:rPr>
                <w:rFonts w:hint="eastAsia"/>
                <w:color w:val="0000FF"/>
                <w:sz w:val="21"/>
                <w:szCs w:val="21"/>
                <w:highlight w:val="none"/>
                <w:lang w:val="en-US" w:eastAsia="zh-CN"/>
              </w:rPr>
              <w:t>合规性评价报告中的能源方针与管理手册不一致。</w:t>
            </w:r>
          </w:p>
          <w:p>
            <w:pPr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 xml:space="preserve">- 了解组织能源评审报告的完成情况 </w:t>
            </w:r>
          </w:p>
          <w:p>
            <w:pPr>
              <w:rPr>
                <w:rFonts w:hint="default"/>
                <w:color w:val="0000FF"/>
                <w:sz w:val="21"/>
                <w:szCs w:val="21"/>
                <w:highlight w:val="cyan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有效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不足，需要完善： </w:t>
            </w:r>
            <w:r>
              <w:rPr>
                <w:rFonts w:hint="eastAsia"/>
                <w:color w:val="0000FF"/>
                <w:sz w:val="21"/>
                <w:szCs w:val="21"/>
                <w:highlight w:val="none"/>
                <w:lang w:val="en-US" w:eastAsia="zh-CN"/>
              </w:rPr>
              <w:t>能源评审报告的范围描述不清楚——能源中使识别不全，未识别汽油（办公用车）和柴油（应急柴油发电机）等。</w:t>
            </w:r>
          </w:p>
          <w:p>
            <w:pPr>
              <w:ind w:firstLine="420" w:firstLineChars="200"/>
              <w:rPr>
                <w:rFonts w:hint="eastAsia"/>
                <w:color w:val="0000FF"/>
                <w:sz w:val="21"/>
                <w:szCs w:val="21"/>
                <w:highlight w:val="cyan"/>
                <w:lang w:val="en-US" w:eastAsia="zh-CN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-近一年是否进行了技术改进？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szCs w:val="18"/>
              </w:rPr>
              <w:t>：</w:t>
            </w:r>
          </w:p>
          <w:p>
            <w:pPr>
              <w:rPr>
                <w:color w:val="000000"/>
                <w:szCs w:val="18"/>
                <w:highlight w:val="red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-能源采购包括：</w:t>
            </w:r>
          </w:p>
          <w:p>
            <w:pPr>
              <w:ind w:left="210" w:leftChars="100"/>
              <w:rPr>
                <w:rFonts w:hint="eastAsia" w:eastAsia="宋体"/>
                <w:color w:val="000000"/>
                <w:szCs w:val="18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油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压缩气体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其他—— </w:t>
            </w:r>
            <w:r>
              <w:rPr>
                <w:rFonts w:hint="eastAsia"/>
                <w:color w:val="000000"/>
                <w:lang w:val="en-US" w:eastAsia="zh-CN"/>
              </w:rPr>
              <w:t>氮气</w:t>
            </w:r>
          </w:p>
          <w:p>
            <w:pPr>
              <w:rPr>
                <w:color w:val="000000"/>
                <w:shd w:val="pct10" w:color="auto" w:fill="FFFFFF"/>
              </w:rPr>
            </w:pP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single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9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了解节能知识和技能教育的实施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已实施   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rFonts w:hint="eastAsia"/>
                <w:color w:val="000000"/>
                <w:szCs w:val="18"/>
              </w:rPr>
              <w:t xml:space="preserve">不充分，需要完善：    </w:t>
            </w:r>
          </w:p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— 了解主要能源使用情况</w:t>
            </w:r>
          </w:p>
          <w:p>
            <w:pPr>
              <w:ind w:left="210" w:leftChars="100"/>
              <w:rPr>
                <w:rFonts w:hint="eastAsia"/>
                <w:color w:val="000000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>油</w:t>
            </w:r>
            <w:r>
              <w:rPr>
                <w:rFonts w:hint="eastAsia"/>
                <w:color w:val="000000"/>
                <w:lang w:eastAsia="zh-CN"/>
              </w:rPr>
              <w:t>（</w:t>
            </w:r>
            <w:r>
              <w:rPr>
                <w:rFonts w:hint="eastAsia"/>
                <w:color w:val="000000"/>
                <w:lang w:val="en-US" w:eastAsia="zh-CN"/>
              </w:rPr>
              <w:t>车用</w:t>
            </w:r>
            <w:r>
              <w:rPr>
                <w:rFonts w:hint="eastAsia"/>
                <w:color w:val="000000"/>
                <w:lang w:eastAsia="zh-CN"/>
              </w:rPr>
              <w:t>）</w:t>
            </w: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color w:val="000000"/>
              </w:rPr>
              <w:t>燃料</w:t>
            </w:r>
            <w:r>
              <w:rPr>
                <w:rFonts w:hint="eastAsia"/>
                <w:color w:val="000000"/>
              </w:rPr>
              <w:t xml:space="preserve">气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highlight w:val="none"/>
              </w:rPr>
              <w:t xml:space="preserve">蒸汽 </w:t>
            </w:r>
            <w:r>
              <w:rPr>
                <w:rFonts w:hint="eastAsia"/>
                <w:color w:val="000000"/>
              </w:rPr>
              <w:t xml:space="preserve">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其他—— </w:t>
            </w:r>
            <w:r>
              <w:rPr>
                <w:rFonts w:hint="eastAsia"/>
                <w:color w:val="000000"/>
                <w:lang w:val="en-US" w:eastAsia="zh-CN"/>
              </w:rPr>
              <w:t>氮气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  <w:szCs w:val="18"/>
              </w:rPr>
            </w:pP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</w:rPr>
              <w:t>了解节水情况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新鲜水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循环水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化学水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除盐水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 </w:t>
            </w:r>
          </w:p>
          <w:p>
            <w:pPr>
              <w:ind w:left="210" w:leftChars="100"/>
              <w:rPr>
                <w:color w:val="000000"/>
              </w:rPr>
            </w:pPr>
          </w:p>
          <w:p>
            <w:pPr>
              <w:rPr>
                <w:color w:val="000000"/>
                <w:szCs w:val="18"/>
              </w:rPr>
            </w:pPr>
            <w:r>
              <w:rPr>
                <w:rFonts w:hint="eastAsia"/>
                <w:color w:val="000000"/>
                <w:szCs w:val="18"/>
              </w:rPr>
              <w:t>- 了解主要耗能设备的识别状况</w:t>
            </w:r>
          </w:p>
          <w:p>
            <w:pPr>
              <w:ind w:left="210" w:leftChars="100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电力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热水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煤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天然气   </w:t>
            </w:r>
            <w:r>
              <w:rPr>
                <w:rFonts w:ascii="Wingdings" w:hAnsi="Wingdings"/>
                <w:color w:val="000000"/>
                <w:highlight w:val="none"/>
              </w:rPr>
              <w:sym w:font="Wingdings" w:char="00FE"/>
            </w:r>
            <w:r>
              <w:rPr>
                <w:color w:val="000000"/>
                <w:highlight w:val="none"/>
              </w:rPr>
              <w:t>燃料</w:t>
            </w:r>
            <w:r>
              <w:rPr>
                <w:rFonts w:hint="eastAsia"/>
                <w:color w:val="000000"/>
                <w:highlight w:val="none"/>
              </w:rPr>
              <w:t>油</w:t>
            </w:r>
            <w:r>
              <w:rPr>
                <w:rFonts w:hint="eastAsia"/>
                <w:color w:val="000000"/>
                <w:highlight w:val="none"/>
                <w:lang w:eastAsia="zh-CN"/>
              </w:rPr>
              <w:t>（</w:t>
            </w:r>
            <w:r>
              <w:rPr>
                <w:rFonts w:hint="eastAsia"/>
                <w:color w:val="000000"/>
                <w:highlight w:val="none"/>
                <w:lang w:val="en-US" w:eastAsia="zh-CN"/>
              </w:rPr>
              <w:t>车用和应急发电</w:t>
            </w:r>
            <w:r>
              <w:rPr>
                <w:rFonts w:hint="eastAsia"/>
                <w:color w:val="000000"/>
                <w:highlight w:val="none"/>
                <w:lang w:eastAsia="zh-CN"/>
              </w:rPr>
              <w:t>）</w:t>
            </w: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 xml:space="preserve">蒸汽 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 w:ascii="Wingdings" w:hAnsi="Wingdings"/>
                <w:color w:val="000000"/>
                <w:lang w:val="en-US" w:eastAsia="zh-CN"/>
              </w:rPr>
              <w:t>空压站产生</w:t>
            </w:r>
            <w:r>
              <w:rPr>
                <w:rFonts w:hint="eastAsia"/>
                <w:color w:val="000000"/>
              </w:rPr>
              <w:t xml:space="preserve">压缩空气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其他—— </w:t>
            </w:r>
            <w:r>
              <w:rPr>
                <w:rFonts w:hint="eastAsia"/>
                <w:color w:val="0000FF"/>
                <w:lang w:val="en-US" w:eastAsia="zh-CN"/>
              </w:rPr>
              <w:t>液化氮气储罐2X15m</w:t>
            </w:r>
            <w:r>
              <w:rPr>
                <w:rFonts w:hint="eastAsia"/>
                <w:color w:val="0000FF"/>
                <w:vertAlign w:val="superscript"/>
                <w:lang w:val="en-US" w:eastAsia="zh-CN"/>
              </w:rPr>
              <w:t>3</w:t>
            </w:r>
            <w:r>
              <w:rPr>
                <w:rFonts w:hint="eastAsia"/>
                <w:color w:val="0000FF"/>
                <w:lang w:val="en-US" w:eastAsia="zh-CN"/>
              </w:rPr>
              <w:t>（罐车）通过地泵计量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了解主要耗能设备的运行效率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FF"/>
                <w:szCs w:val="18"/>
                <w:lang w:val="en-US" w:eastAsia="zh-CN"/>
              </w:rPr>
              <w:t>未测试。已沟通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sym w:font="Wingdings" w:char="00A8"/>
            </w:r>
            <w:r>
              <w:rPr>
                <w:rFonts w:hint="eastAsia"/>
                <w:color w:val="000000"/>
              </w:rPr>
              <w:t>其他——</w:t>
            </w:r>
            <w:r>
              <w:rPr>
                <w:rFonts w:hint="eastAsia"/>
                <w:color w:val="000000"/>
                <w:lang w:val="en-US" w:eastAsia="zh-CN"/>
              </w:rPr>
              <w:t>储罐</w:t>
            </w:r>
            <w:r>
              <w:rPr>
                <w:rFonts w:hint="eastAsia"/>
                <w:color w:val="000000"/>
              </w:rPr>
              <w:t xml:space="preserve">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>- 了解淘汰落后设备的识别情况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无</w:t>
            </w:r>
          </w:p>
          <w:p>
            <w:pPr>
              <w:ind w:left="210" w:left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机泵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电机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变压器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电器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锅炉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机床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锻压设备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其他—— </w:t>
            </w:r>
          </w:p>
          <w:p>
            <w:pPr>
              <w:ind w:left="210" w:leftChars="100"/>
              <w:rPr>
                <w:color w:val="000000"/>
                <w:szCs w:val="18"/>
              </w:rPr>
            </w:pPr>
          </w:p>
          <w:p>
            <w:pPr>
              <w:rPr>
                <w:rFonts w:hint="default" w:eastAsia="宋体"/>
                <w:color w:val="000000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color w:val="000000"/>
                <w:szCs w:val="18"/>
              </w:rPr>
              <w:t>了解能耗限值达标情况</w:t>
            </w:r>
            <w:r>
              <w:rPr>
                <w:rFonts w:hint="eastAsia"/>
                <w:color w:val="000000"/>
                <w:szCs w:val="18"/>
                <w:lang w:eastAsia="zh-CN"/>
              </w:rPr>
              <w:t>——</w:t>
            </w:r>
            <w:r>
              <w:rPr>
                <w:rFonts w:hint="eastAsia"/>
                <w:color w:val="000000"/>
                <w:szCs w:val="18"/>
                <w:lang w:val="en-US" w:eastAsia="zh-CN"/>
              </w:rPr>
              <w:t>不涉及</w:t>
            </w:r>
          </w:p>
          <w:p>
            <w:pPr>
              <w:ind w:firstLine="210" w:firstLineChars="100"/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 xml:space="preserve">达标    </w:t>
            </w:r>
            <w:r>
              <w:rPr>
                <w:rFonts w:ascii="Wingdings" w:hAnsi="Wingdings"/>
                <w:color w:val="000000"/>
              </w:rPr>
              <w:t>¨</w:t>
            </w:r>
            <w:r>
              <w:rPr>
                <w:rFonts w:hint="eastAsia"/>
                <w:color w:val="000000"/>
              </w:rPr>
              <w:t>不达标，原因：————————</w:t>
            </w:r>
          </w:p>
          <w:p>
            <w:pPr>
              <w:ind w:firstLine="210" w:firstLineChars="100"/>
              <w:rPr>
                <w:color w:val="000000"/>
                <w:szCs w:val="18"/>
              </w:rPr>
            </w:pPr>
          </w:p>
          <w:p>
            <w:pPr>
              <w:rPr>
                <w:color w:val="000000"/>
                <w:szCs w:val="18"/>
                <w:highlight w:val="yellow"/>
              </w:rPr>
            </w:pPr>
            <w:r>
              <w:rPr>
                <w:rFonts w:hint="eastAsia"/>
                <w:color w:val="000000"/>
                <w:szCs w:val="18"/>
              </w:rPr>
              <w:t xml:space="preserve">- </w:t>
            </w:r>
            <w:r>
              <w:rPr>
                <w:rFonts w:hint="eastAsia"/>
                <w:color w:val="000000"/>
                <w:szCs w:val="18"/>
                <w:highlight w:val="none"/>
              </w:rPr>
              <w:t>了解能源计量器具配备情况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rFonts w:hint="eastAsia"/>
                <w:color w:val="000000"/>
                <w:szCs w:val="18"/>
              </w:rPr>
              <w:t xml:space="preserve">用能单位            配备率 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主要次级用能单位</w:t>
            </w:r>
            <w:r>
              <w:rPr>
                <w:rFonts w:hint="eastAsia"/>
                <w:color w:val="000000"/>
                <w:szCs w:val="18"/>
              </w:rPr>
              <w:t xml:space="preserve">    配备率 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FE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color w:val="000000"/>
                <w:szCs w:val="18"/>
              </w:rPr>
            </w:pPr>
            <w:r>
              <w:rPr>
                <w:rFonts w:ascii="Wingdings" w:hAnsi="Wingdings"/>
                <w:color w:val="000000"/>
                <w:szCs w:val="18"/>
              </w:rPr>
              <w:sym w:font="Wingdings" w:char="00A8"/>
            </w:r>
            <w:r>
              <w:rPr>
                <w:rFonts w:hint="eastAsia"/>
                <w:color w:val="000000"/>
                <w:szCs w:val="18"/>
              </w:rPr>
              <w:t xml:space="preserve">主要用能设备        配备率 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A8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  <w:r>
              <w:rPr>
                <w:rFonts w:hint="eastAsia"/>
                <w:color w:val="000000"/>
                <w:szCs w:val="18"/>
              </w:rPr>
              <w:t xml:space="preserve">    配备等级 </w:t>
            </w:r>
            <w:r>
              <w:rPr>
                <w:rFonts w:ascii="Wingdings" w:hAnsi="Wingdings"/>
                <w:color w:val="000000"/>
                <w:szCs w:val="18"/>
              </w:rPr>
              <w:sym w:font="Wingdings" w:char="00A8"/>
            </w:r>
            <w:r>
              <w:rPr>
                <w:color w:val="000000"/>
                <w:szCs w:val="18"/>
              </w:rPr>
              <w:t>符合</w:t>
            </w:r>
            <w:r>
              <w:rPr>
                <w:rFonts w:ascii="Wingdings" w:hAnsi="Wingdings"/>
                <w:color w:val="000000"/>
                <w:szCs w:val="18"/>
              </w:rPr>
              <w:t>¨</w:t>
            </w:r>
            <w:r>
              <w:rPr>
                <w:color w:val="000000"/>
                <w:szCs w:val="18"/>
              </w:rPr>
              <w:t>不符合</w:t>
            </w:r>
          </w:p>
          <w:p>
            <w:pPr>
              <w:rPr>
                <w:rFonts w:hint="eastAsia" w:cs="Times New Roman"/>
                <w:b w:val="0"/>
                <w:bCs w:val="0"/>
                <w:color w:val="021DE4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021DE4"/>
                <w:kern w:val="2"/>
                <w:sz w:val="21"/>
                <w:szCs w:val="22"/>
                <w:lang w:val="en-US" w:eastAsia="zh-CN" w:bidi="ar-SA"/>
              </w:rPr>
              <w:t>该公司</w:t>
            </w:r>
          </w:p>
          <w:p>
            <w:pPr>
              <w:rPr>
                <w:rFonts w:hint="eastAsia" w:cs="Times New Roman"/>
                <w:b w:val="0"/>
                <w:bCs w:val="0"/>
                <w:color w:val="021DE4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021DE4"/>
                <w:kern w:val="2"/>
                <w:sz w:val="21"/>
                <w:szCs w:val="22"/>
                <w:lang w:val="en-US" w:eastAsia="zh-CN" w:bidi="ar-SA"/>
              </w:rPr>
              <w:t>氮气：1个地秤。已检定。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471295" cy="2019300"/>
                  <wp:effectExtent l="0" t="0" r="1905" b="0"/>
                  <wp:docPr id="1" name="图片 1" descr="4adb5db89dc6d57e3f669c2ab0304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adb5db89dc6d57e3f669c2ab0304d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48435" cy="1974850"/>
                  <wp:effectExtent l="0" t="0" r="12065" b="6350"/>
                  <wp:docPr id="4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61135" cy="1957705"/>
                  <wp:effectExtent l="0" t="0" r="12065" b="10795"/>
                  <wp:docPr id="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390650" cy="1969770"/>
                  <wp:effectExtent l="0" t="0" r="6350" b="11430"/>
                  <wp:docPr id="6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color w:val="0000FF"/>
                <w:lang w:val="en-US" w:eastAsia="zh-CN"/>
              </w:rPr>
            </w:pPr>
            <w:r>
              <w:rPr>
                <w:rFonts w:hint="default"/>
                <w:color w:val="0000FF"/>
                <w:lang w:val="en-US" w:eastAsia="zh-CN"/>
              </w:rPr>
              <w:t>上面表是液氮容量，</w:t>
            </w:r>
            <w:r>
              <w:rPr>
                <w:rFonts w:hint="eastAsia"/>
                <w:color w:val="0000FF"/>
                <w:lang w:val="en-US" w:eastAsia="zh-CN"/>
              </w:rPr>
              <w:t xml:space="preserve">            地秤鉴定证书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color w:val="0000FF"/>
                <w:lang w:val="en-US" w:eastAsia="zh-CN"/>
              </w:rPr>
              <w:t>下面表是罐内压力显示表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 w:cs="Times New Roman"/>
                <w:b w:val="0"/>
                <w:bCs w:val="0"/>
                <w:color w:val="021DE4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021DE4"/>
                <w:kern w:val="2"/>
                <w:sz w:val="21"/>
                <w:szCs w:val="22"/>
                <w:lang w:val="en-US" w:eastAsia="zh-CN" w:bidi="ar-SA"/>
              </w:rPr>
              <w:t>电：2个变电站（各1块电表）均为国网电力分公司提供。分别供两个泊位（接卸、输送）用电。电表由供方安装和管理</w:t>
            </w:r>
          </w:p>
          <w:p>
            <w:pPr>
              <w:rPr>
                <w:rFonts w:hint="default" w:cs="Times New Roman"/>
                <w:b w:val="0"/>
                <w:bCs w:val="0"/>
                <w:color w:val="021DE4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color w:val="021DE4"/>
                <w:kern w:val="2"/>
                <w:sz w:val="21"/>
                <w:szCs w:val="22"/>
                <w:lang w:val="en-US" w:eastAsia="zh-CN" w:bidi="ar-SA"/>
              </w:rPr>
              <w:t>水：1水表，由自来水公司提供。供机泵冷却水和生活用水使用，水表由供方安装和管理。</w:t>
            </w:r>
          </w:p>
          <w:p>
            <w:pPr>
              <w:rPr>
                <w:color w:val="000000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widowControl/>
              <w:spacing w:before="40"/>
              <w:jc w:val="left"/>
              <w:rPr>
                <w:color w:val="000000"/>
                <w:szCs w:val="18"/>
                <w:highlight w:val="cyan"/>
              </w:rPr>
            </w:pPr>
            <w:r>
              <w:rPr>
                <w:rFonts w:hint="eastAsia"/>
                <w:color w:val="000000"/>
                <w:szCs w:val="18"/>
              </w:rPr>
              <w:t>相关方的反馈及</w:t>
            </w:r>
            <w:r>
              <w:rPr>
                <w:rFonts w:hint="eastAsia"/>
                <w:color w:val="000000"/>
              </w:rPr>
              <w:t>投诉处理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近一年相关方反馈处理情况，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近一年处罚整改情况，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未发生</w:t>
            </w:r>
          </w:p>
          <w:p>
            <w:pPr>
              <w:ind w:firstLine="2520" w:firstLineChars="1200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 xml:space="preserve">； </w:t>
            </w:r>
          </w:p>
          <w:p>
            <w:pPr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</w:rPr>
              <w:t>近一年重大能源事故情况，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 xml:space="preserve">未发生 </w:t>
            </w:r>
          </w:p>
          <w:p>
            <w:pPr>
              <w:ind w:firstLine="2520" w:firstLineChars="1200"/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发生过，说明</w:t>
            </w:r>
            <w:r>
              <w:rPr>
                <w:rFonts w:hint="eastAsia"/>
                <w:color w:val="000000"/>
                <w:u w:val="single"/>
              </w:rPr>
              <w:t>；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jc w:val="left"/>
              <w:rPr>
                <w:color w:val="000000"/>
                <w:shd w:val="pct10" w:color="auto" w:fill="FFFFFF"/>
              </w:rPr>
            </w:pPr>
            <w:r>
              <w:rPr>
                <w:rFonts w:hint="eastAsia"/>
                <w:color w:val="000000"/>
                <w:szCs w:val="18"/>
                <w:shd w:val="pct10" w:color="auto" w:fill="FFFFFF"/>
              </w:rPr>
              <w:t>EnMS</w:t>
            </w:r>
            <w:r>
              <w:rPr>
                <w:rFonts w:hint="eastAsia"/>
                <w:color w:val="000000"/>
                <w:shd w:val="pct10" w:color="auto" w:fill="FFFFFF"/>
              </w:rPr>
              <w:t>场所巡查</w:t>
            </w:r>
            <w:r>
              <w:rPr>
                <w:color w:val="000000"/>
                <w:shd w:val="pct10" w:color="auto" w:fill="FFFFFF"/>
              </w:rPr>
              <w:t>:</w:t>
            </w:r>
          </w:p>
          <w:p>
            <w:pPr>
              <w:rPr>
                <w:color w:val="000000"/>
              </w:rPr>
            </w:pP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center"/>
          </w:tcPr>
          <w:p>
            <w:r>
              <w:rPr>
                <w:rFonts w:hint="eastAsia"/>
              </w:rPr>
              <w:t>- 巡视厂区，查看地理位置图、厂区平面图（适用时）</w:t>
            </w:r>
          </w:p>
          <w:p>
            <w:pPr>
              <w:ind w:firstLine="210" w:firstLineChars="100"/>
              <w:rPr>
                <w:rFonts w:hint="default"/>
                <w:lang w:val="en-US" w:eastAsia="zh-CN"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工业区   </w:t>
            </w:r>
            <w:r>
              <w:rPr/>
              <w:sym w:font="Wingdings" w:char="00A8"/>
            </w:r>
            <w:r>
              <w:rPr>
                <w:rFonts w:hint="eastAsia"/>
              </w:rPr>
              <w:t>商业区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生态保护区   </w:t>
            </w:r>
            <w:r>
              <w:rPr/>
              <w:sym w:font="Wingdings" w:char="00FE"/>
            </w:r>
            <w:r>
              <w:rPr>
                <w:rFonts w:hint="eastAsia"/>
              </w:rPr>
              <w:t>其他——</w:t>
            </w:r>
            <w:r>
              <w:rPr>
                <w:rFonts w:hint="eastAsia"/>
                <w:lang w:val="en-US" w:eastAsia="zh-CN"/>
              </w:rPr>
              <w:t>张家港保税物流园区（港区）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</w:p>
          <w:p>
            <w:r>
              <w:rPr>
                <w:rFonts w:hint="eastAsia"/>
              </w:rPr>
              <w:t>- 巡视办公区域和生产区域的能源管理情况，是否存在：</w:t>
            </w:r>
          </w:p>
          <w:p>
            <w:r>
              <w:rPr/>
              <w:sym w:font="Wingdings" w:char="00FE"/>
            </w:r>
            <w:r>
              <w:rPr>
                <w:rFonts w:hint="eastAsia"/>
              </w:rPr>
              <w:t>空调温度控制，</w:t>
            </w:r>
            <w:r>
              <w:rPr/>
              <w:sym w:font="Wingdings" w:char="00A8"/>
            </w:r>
            <w:r>
              <w:rPr>
                <w:rFonts w:hint="eastAsia"/>
              </w:rPr>
              <w:t>长明灯，</w:t>
            </w:r>
            <w:r>
              <w:rPr/>
              <w:sym w:font="Wingdings" w:char="00A8"/>
            </w:r>
            <w:r>
              <w:rPr>
                <w:rFonts w:hint="eastAsia"/>
              </w:rPr>
              <w:t>长流水；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天然气使用开关关闭； </w:t>
            </w:r>
            <w:r>
              <w:rPr/>
              <w:sym w:font="Wingdings" w:char="00A8"/>
            </w:r>
            <w:r>
              <w:rPr>
                <w:rFonts w:hint="eastAsia"/>
              </w:rPr>
              <w:t>其他——</w:t>
            </w:r>
          </w:p>
          <w:p/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- 巡视生产区域（</w:t>
            </w:r>
            <w:r>
              <w:rPr>
                <w:rFonts w:hint="eastAsia"/>
                <w:lang w:val="en-US" w:eastAsia="zh-CN"/>
              </w:rPr>
              <w:t>仓储罐区和码头、介质输送泵、管线、配电室、消防泵房</w:t>
            </w:r>
            <w:r>
              <w:rPr>
                <w:rFonts w:hint="eastAsia"/>
              </w:rPr>
              <w:t>等）</w:t>
            </w:r>
            <w:r>
              <w:rPr>
                <w:rFonts w:hint="eastAsia"/>
                <w:lang w:eastAsia="zh-CN"/>
              </w:rPr>
              <w:t>：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</w:t>
            </w:r>
          </w:p>
          <w:p>
            <w:r>
              <w:rPr>
                <w:rFonts w:hint="eastAsia"/>
              </w:rPr>
              <w:t>了解能源使用的种类：资源能源消耗类：</w:t>
            </w:r>
          </w:p>
          <w:p>
            <w:pPr>
              <w:widowControl/>
              <w:spacing w:before="40"/>
              <w:ind w:firstLine="210" w:firstLineChars="100"/>
              <w:jc w:val="left"/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燃料气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热水  </w:t>
            </w:r>
            <w:r>
              <w:rPr/>
              <w:sym w:font="Wingdings" w:char="00FE"/>
            </w:r>
            <w:r>
              <w:rPr>
                <w:rFonts w:hint="eastAsia"/>
              </w:rPr>
              <w:t>燃料油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车用汽油、发电机用柴油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</w:rPr>
              <w:t xml:space="preserve">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电能 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天然气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压缩空气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蒸汽 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其他—— </w:t>
            </w:r>
            <w:r>
              <w:rPr>
                <w:rFonts w:hint="eastAsia"/>
                <w:lang w:val="en-US" w:eastAsia="zh-CN"/>
              </w:rPr>
              <w:t>氮气</w:t>
            </w:r>
          </w:p>
          <w:p>
            <w:pPr>
              <w:widowControl/>
              <w:spacing w:before="40"/>
              <w:jc w:val="left"/>
              <w:rPr>
                <w:rFonts w:hint="default"/>
                <w:lang w:val="en-US"/>
              </w:rPr>
            </w:pPr>
            <w:r>
              <w:rPr>
                <w:rFonts w:hint="eastAsia"/>
              </w:rPr>
              <w:t>- 巡视动力设施和辅助设施的状况，关注主要用能场所：——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  <w:rPr>
                <w:rFonts w:hint="default"/>
                <w:lang w:val="en-US"/>
              </w:rPr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锅炉房  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加热炉   </w:t>
            </w:r>
            <w:r>
              <w:rPr/>
              <w:sym w:font="Wingdings" w:char="00A8"/>
            </w:r>
            <w:r>
              <w:t>汽轮机</w:t>
            </w:r>
            <w:r>
              <w:rPr>
                <w:rFonts w:hint="eastAsia"/>
              </w:rPr>
              <w:t>、</w:t>
            </w:r>
            <w:r>
              <w:t>空压机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高压配电室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低压配电室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空压站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制冷站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污水处理站 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改建/扩建施工现场 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码头线缆更新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</w:rPr>
              <w:t xml:space="preserve"> 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食堂    </w:t>
            </w:r>
            <w:r>
              <w:rPr/>
              <w:sym w:font="Wingdings" w:char="00FE"/>
            </w:r>
            <w:r>
              <w:rPr>
                <w:rFonts w:hint="eastAsia"/>
              </w:rPr>
              <w:t>其他</w:t>
            </w:r>
            <w:r>
              <w:rPr>
                <w:rFonts w:hint="eastAsia"/>
                <w:lang w:eastAsia="zh-CN"/>
              </w:rPr>
              <w:t>——</w:t>
            </w:r>
            <w:r>
              <w:rPr>
                <w:rFonts w:hint="eastAsia"/>
                <w:lang w:val="en-US" w:eastAsia="zh-CN"/>
              </w:rPr>
              <w:t>储罐（氮封）、消防泵房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359535" cy="1715770"/>
                  <wp:effectExtent l="0" t="0" r="12065" b="1143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353820" cy="1651635"/>
                  <wp:effectExtent l="0" t="0" r="5080" b="1206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92885" cy="1658620"/>
                  <wp:effectExtent l="0" t="0" r="5715" b="508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511300" cy="1646555"/>
                  <wp:effectExtent l="0" t="0" r="0" b="444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firstLine="46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低压配电             高压配电          罐区储罐               机泵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368425" cy="1936115"/>
                  <wp:effectExtent l="0" t="0" r="3175" b="698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09700" cy="1905635"/>
                  <wp:effectExtent l="0" t="0" r="0" b="12065"/>
                  <wp:docPr id="12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308100" cy="1936750"/>
                  <wp:effectExtent l="0" t="0" r="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416685" cy="1898650"/>
                  <wp:effectExtent l="0" t="0" r="5715" b="6350"/>
                  <wp:docPr id="14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firstLine="46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吊臂2吨            1#泊位6#吊机11KW                 脱缆钩11KW</w:t>
            </w:r>
          </w:p>
          <w:p>
            <w:pPr>
              <w:widowControl/>
              <w:spacing w:before="4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</w:t>
            </w:r>
          </w:p>
          <w:p>
            <w:pPr>
              <w:widowControl/>
              <w:spacing w:before="40"/>
              <w:jc w:val="left"/>
            </w:pPr>
            <w:r>
              <w:rPr>
                <w:rFonts w:hint="eastAsia"/>
              </w:rPr>
              <w:t>- 确认生产/服务流程</w:t>
            </w:r>
          </w:p>
          <w:p>
            <w:pPr>
              <w:ind w:firstLine="420" w:firstLineChars="200"/>
            </w:pPr>
            <w:r>
              <w:rPr/>
              <w:sym w:font="Wingdings" w:char="00FE"/>
            </w:r>
            <w:r>
              <w:rPr>
                <w:rFonts w:hint="eastAsia"/>
              </w:rPr>
              <w:t xml:space="preserve">与提供流程图一致   </w:t>
            </w:r>
            <w:r>
              <w:t>¨</w:t>
            </w:r>
            <w:r>
              <w:rPr>
                <w:rFonts w:hint="eastAsia"/>
              </w:rPr>
              <w:t xml:space="preserve">与提供流程图不一致，说明： </w:t>
            </w:r>
          </w:p>
          <w:p>
            <w:pPr>
              <w:widowControl/>
              <w:spacing w:before="40"/>
              <w:jc w:val="left"/>
            </w:pPr>
          </w:p>
          <w:p>
            <w:pPr>
              <w:widowControl/>
              <w:spacing w:before="4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- 观察基础设施（高耗能设备）运行完好：是否存在低负荷运行——</w:t>
            </w:r>
            <w:r>
              <w:rPr>
                <w:rFonts w:hint="eastAsia"/>
                <w:lang w:val="en-US" w:eastAsia="zh-CN"/>
              </w:rPr>
              <w:t>不存在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电动机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工业锅炉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工业炉窑 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电器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反应釜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机床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锻压设备   </w:t>
            </w:r>
            <w:r>
              <w:rPr/>
              <w:sym w:font="Wingdings" w:char="00A8"/>
            </w:r>
            <w:r>
              <w:rPr>
                <w:rFonts w:hint="eastAsia"/>
              </w:rPr>
              <w:t>热处理设备</w:t>
            </w:r>
          </w:p>
          <w:p>
            <w:pPr>
              <w:widowControl/>
              <w:spacing w:before="40"/>
              <w:ind w:left="420" w:leftChars="100" w:hanging="210" w:hangingChars="100"/>
              <w:jc w:val="left"/>
            </w:pPr>
            <w:r>
              <w:rPr/>
              <w:sym w:font="Wingdings" w:char="00A8"/>
            </w:r>
            <w:r>
              <w:rPr>
                <w:rFonts w:hint="eastAsia"/>
              </w:rPr>
              <w:t xml:space="preserve">制冷设备   </w:t>
            </w:r>
            <w:r>
              <w:rPr/>
              <w:sym w:font="Wingdings" w:char="00A8"/>
            </w:r>
            <w:r>
              <w:rPr>
                <w:rFonts w:hint="eastAsia"/>
              </w:rPr>
              <w:t xml:space="preserve">泵     </w:t>
            </w:r>
            <w:r>
              <w:rPr/>
              <w:sym w:font="Wingdings" w:char="00A8"/>
            </w:r>
            <w:r>
              <w:rPr>
                <w:rFonts w:hint="eastAsia"/>
              </w:rPr>
              <w:t>其他——</w:t>
            </w:r>
          </w:p>
          <w:p>
            <w:pPr>
              <w:widowControl/>
              <w:spacing w:before="40"/>
              <w:ind w:firstLine="210" w:firstLineChars="100"/>
              <w:jc w:val="left"/>
            </w:pPr>
          </w:p>
          <w:p>
            <w:pPr>
              <w:widowControl/>
              <w:spacing w:before="4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- 观察能源相关的监视和测量设备的种类并了解检定/校准情况</w:t>
            </w:r>
            <w:r>
              <w:rPr>
                <w:rFonts w:hint="eastAsia"/>
                <w:lang w:eastAsia="zh-CN"/>
              </w:rPr>
              <w:t>——</w:t>
            </w:r>
            <w:r>
              <w:rPr>
                <w:rFonts w:hint="eastAsia"/>
                <w:lang w:val="en-US" w:eastAsia="zh-CN"/>
              </w:rPr>
              <w:t>由水、电计量由供方安装，供方负责校准。氮气使用地秤称重计量，汽柴油加油站计量。</w:t>
            </w:r>
          </w:p>
          <w:p>
            <w:pPr>
              <w:widowControl/>
              <w:spacing w:before="4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  <w:r>
              <w:rPr/>
              <w:sym w:font="Wingdings" w:char="00A8"/>
            </w:r>
            <w:r>
              <w:rPr>
                <w:rFonts w:hint="eastAsia"/>
                <w:lang w:val="en-US" w:eastAsia="zh-CN"/>
              </w:rPr>
              <w:t>蒸汽</w:t>
            </w:r>
            <w:r>
              <w:t>流量计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温度计  </w:t>
            </w:r>
            <w:r>
              <w:rPr/>
              <w:sym w:font="Wingdings" w:char="00FE"/>
            </w:r>
            <w:r>
              <w:rPr>
                <w:rFonts w:hint="eastAsia"/>
                <w:lang w:val="en-US" w:eastAsia="zh-CN"/>
              </w:rPr>
              <w:t>氮气地泵</w:t>
            </w:r>
            <w:r>
              <w:rPr>
                <w:rFonts w:hint="eastAsia"/>
              </w:rPr>
              <w:t xml:space="preserve">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压力表 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电表 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电流表    </w:t>
            </w:r>
            <w:r>
              <w:rPr/>
              <w:sym w:font="Wingdings" w:char="00FE"/>
            </w:r>
            <w:r>
              <w:rPr>
                <w:rFonts w:hint="eastAsia"/>
              </w:rPr>
              <w:t xml:space="preserve">电压表   </w:t>
            </w:r>
            <w:r>
              <w:rPr/>
              <w:sym w:font="Wingdings" w:char="00FE"/>
            </w:r>
            <w:r>
              <w:rPr>
                <w:rFonts w:hint="eastAsia"/>
              </w:rPr>
              <w:t>其他——</w:t>
            </w:r>
            <w:r>
              <w:rPr>
                <w:rFonts w:hint="eastAsia"/>
                <w:lang w:val="en-US" w:eastAsia="zh-CN"/>
              </w:rPr>
              <w:t>水表</w:t>
            </w:r>
          </w:p>
          <w:p>
            <w:pPr>
              <w:widowControl/>
              <w:spacing w:before="4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 xml:space="preserve">- 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84985" cy="1784985"/>
                  <wp:effectExtent l="0" t="0" r="5715" b="5715"/>
                  <wp:docPr id="1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985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536700" cy="1759585"/>
                  <wp:effectExtent l="0" t="0" r="0" b="5715"/>
                  <wp:docPr id="1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406650" cy="1797050"/>
                  <wp:effectExtent l="0" t="0" r="6350" b="6350"/>
                  <wp:docPr id="1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firstLine="1150" w:firstLineChars="5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制冷机组              输送泵                      变压器铭牌</w:t>
            </w:r>
          </w:p>
          <w:p>
            <w:pPr>
              <w:pStyle w:val="2"/>
            </w:pPr>
            <w:r>
              <w:drawing>
                <wp:inline distT="0" distB="0" distL="114300" distR="114300">
                  <wp:extent cx="1462405" cy="2387600"/>
                  <wp:effectExtent l="0" t="0" r="0" b="10795"/>
                  <wp:docPr id="1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62405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524635" cy="2324100"/>
                  <wp:effectExtent l="0" t="0" r="0" b="12065"/>
                  <wp:docPr id="2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2463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color w:val="000000"/>
                <w:szCs w:val="21"/>
              </w:rPr>
            </w:pPr>
            <w:r>
              <w:rPr>
                <w:rFonts w:hint="eastAsia"/>
                <w:lang w:val="en-US" w:eastAsia="zh-CN"/>
              </w:rPr>
              <w:t>系缆绳                                  液氮储槽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E6E0EC" w:themeFill="accent4" w:themeFillTint="32"/>
            <w:vAlign w:val="top"/>
          </w:tcPr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b/>
                <w:bCs/>
                <w:color w:val="000000"/>
              </w:rPr>
            </w:pPr>
            <w:r>
              <w:rPr>
                <w:rFonts w:hint="eastAsia"/>
                <w:color w:val="000000"/>
                <w:szCs w:val="18"/>
              </w:rPr>
              <w:t>与申请信息变更的说明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numPr>
                <w:ilvl w:val="0"/>
                <w:numId w:val="3"/>
              </w:numPr>
              <w:ind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 xml:space="preserve">注册地址变更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经营地址变更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Cs w:val="21"/>
              </w:rPr>
              <w:t xml:space="preserve"> 认证范围变更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员工人数变更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临时现场变更                                     </w:t>
            </w:r>
          </w:p>
          <w:p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□ 其他                                              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21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color w:val="000000"/>
                <w:szCs w:val="18"/>
              </w:rPr>
              <w:t>识别二阶段审核的资源配置情况和可行性</w:t>
            </w:r>
          </w:p>
        </w:tc>
        <w:tc>
          <w:tcPr>
            <w:tcW w:w="96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color w:val="000000"/>
              </w:rPr>
            </w:pPr>
          </w:p>
        </w:tc>
        <w:tc>
          <w:tcPr>
            <w:tcW w:w="10004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 w:val="21"/>
                <w:szCs w:val="21"/>
              </w:rPr>
              <w:t>识别二阶段审核的资源配置情况</w:t>
            </w: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有生产/服务现场 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领导层可以迎审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交通食宿  □劳保用品  </w:t>
            </w: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□ 其他：</w:t>
            </w: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识别二阶段审核的可行性</w:t>
            </w: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二阶段日期的可接受性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审核组成员的可接受性  </w:t>
            </w: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 w:val="21"/>
                <w:szCs w:val="21"/>
              </w:rPr>
              <w:t>一阶段的问题已整改</w:t>
            </w:r>
          </w:p>
          <w:p>
            <w:pPr>
              <w:pStyle w:val="16"/>
              <w:ind w:firstLine="0" w:firstLineChars="0"/>
              <w:jc w:val="left"/>
              <w:rPr>
                <w:color w:val="000000"/>
                <w:sz w:val="21"/>
                <w:szCs w:val="21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不存在影响二阶段审核的问题</w:t>
            </w:r>
          </w:p>
        </w:tc>
        <w:tc>
          <w:tcPr>
            <w:tcW w:w="1585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top"/>
          </w:tcPr>
          <w:p>
            <w:pPr>
              <w:rPr>
                <w:color w:val="000000"/>
              </w:rPr>
            </w:pPr>
            <w:r>
              <w:rPr>
                <w:rFonts w:ascii="Wingdings" w:hAnsi="Wingdings"/>
                <w:color w:val="000000"/>
              </w:rPr>
              <w:sym w:font="Wingdings" w:char="00FE"/>
            </w:r>
            <w:r>
              <w:rPr>
                <w:rFonts w:hint="eastAsia"/>
                <w:color w:val="000000"/>
              </w:rPr>
              <w:t>满足要求</w:t>
            </w:r>
          </w:p>
          <w:p>
            <w:pPr>
              <w:rPr>
                <w:color w:val="000000"/>
              </w:rPr>
            </w:pPr>
            <w:r>
              <w:rPr>
                <w:rFonts w:hint="eastAsia"/>
                <w:color w:val="000000"/>
                <w:szCs w:val="21"/>
              </w:rPr>
              <w:t>□</w:t>
            </w:r>
            <w:r>
              <w:rPr>
                <w:rFonts w:hint="eastAsia"/>
                <w:color w:val="000000"/>
              </w:rPr>
              <w:t>不满足要求</w:t>
            </w:r>
          </w:p>
        </w:tc>
      </w:tr>
    </w:tbl>
    <w:p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6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19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-140335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637.9pt;margin-top:2.6pt;height:20.2pt;width:85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</w:t>
                </w:r>
                <w:r>
                  <w:rPr>
                    <w:sz w:val="18"/>
                    <w:szCs w:val="18"/>
                  </w:rPr>
                  <w:t>13</w:t>
                </w:r>
                <w:r>
                  <w:rPr>
                    <w:rFonts w:hint="eastAsia"/>
                    <w:sz w:val="18"/>
                    <w:szCs w:val="18"/>
                  </w:rPr>
                  <w:t>(05版)</w:t>
                </w:r>
              </w:p>
            </w:txbxContent>
          </v:textbox>
        </v:shape>
      </w:pict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7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5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EC6C60"/>
    <w:multiLevelType w:val="multilevel"/>
    <w:tmpl w:val="31EC6C60"/>
    <w:lvl w:ilvl="0" w:tentative="0">
      <w:start w:val="0"/>
      <w:numFmt w:val="bullet"/>
      <w:lvlText w:val="□"/>
      <w:lvlJc w:val="left"/>
      <w:pPr>
        <w:ind w:left="36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7A16B35"/>
    <w:multiLevelType w:val="multilevel"/>
    <w:tmpl w:val="37A16B35"/>
    <w:lvl w:ilvl="0" w:tentative="0">
      <w:start w:val="0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9BF74AA"/>
    <w:multiLevelType w:val="singleLevel"/>
    <w:tmpl w:val="69BF74AA"/>
    <w:lvl w:ilvl="0" w:tentative="0">
      <w:start w:val="1"/>
      <w:numFmt w:val="bullet"/>
      <w:pStyle w:val="4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FhOTUxOWU4NmEyZTY3NTg5Zjg0ZDY5NTZmMzA5NGQifQ=="/>
  </w:docVars>
  <w:rsids>
    <w:rsidRoot w:val="00000000"/>
    <w:rsid w:val="045312CD"/>
    <w:rsid w:val="0E2461DF"/>
    <w:rsid w:val="3D327670"/>
    <w:rsid w:val="6D333B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ody Text"/>
    <w:basedOn w:val="1"/>
    <w:next w:val="4"/>
    <w:qFormat/>
    <w:uiPriority w:val="0"/>
  </w:style>
  <w:style w:type="paragraph" w:styleId="4">
    <w:name w:val="List Bullet 5"/>
    <w:basedOn w:val="1"/>
    <w:semiHidden/>
    <w:unhideWhenUsed/>
    <w:uiPriority w:val="99"/>
    <w:pPr>
      <w:numPr>
        <w:ilvl w:val="0"/>
        <w:numId w:val="1"/>
      </w:numPr>
    </w:p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character" w:customStyle="1" w:styleId="12">
    <w:name w:val="页眉 Char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Char"/>
    <w:basedOn w:val="10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3752</Words>
  <Characters>3948</Characters>
  <Lines>92</Lines>
  <Paragraphs>26</Paragraphs>
  <TotalTime>0</TotalTime>
  <ScaleCrop>false</ScaleCrop>
  <LinksUpToDate>false</LinksUpToDate>
  <CharactersWithSpaces>4746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开门大吉～ISO认证服务</cp:lastModifiedBy>
  <dcterms:modified xsi:type="dcterms:W3CDTF">2022-09-13T13:39:37Z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5F7C65144C2B4464A3804FF2E286B100</vt:lpwstr>
  </property>
  <property fmtid="{D5CDD505-2E9C-101B-9397-08002B2CF9AE}" pid="3" name="KSOProductBuildVer">
    <vt:lpwstr>2052-11.1.0.12358</vt:lpwstr>
  </property>
</Properties>
</file>