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p>
      <w:pPr>
        <w:spacing w:line="480" w:lineRule="exact"/>
        <w:jc w:val="center"/>
        <w:rPr>
          <w:rFonts w:hint="eastAsia" w:ascii="隶书" w:hAnsi="宋体" w:eastAsia="隶书"/>
          <w:bCs/>
          <w:color w:val="000000"/>
          <w:sz w:val="36"/>
          <w:szCs w:val="36"/>
        </w:rPr>
      </w:pP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 采购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销售</w:t>
            </w:r>
            <w:r>
              <w:rPr>
                <w:rFonts w:hint="eastAsia"/>
                <w:sz w:val="24"/>
                <w:szCs w:val="24"/>
              </w:rPr>
              <w:t xml:space="preserve">部（含库房）   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鲁鹏</w:t>
            </w:r>
            <w:r>
              <w:rPr>
                <w:rFonts w:hint="eastAsia"/>
                <w:sz w:val="24"/>
                <w:szCs w:val="24"/>
              </w:rPr>
              <w:t xml:space="preserve">    陪同人员：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严伟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adjustRightInd w:val="0"/>
              <w:spacing w:before="156" w:beforeLines="50" w:after="156" w:afterLines="50" w:line="0" w:lineRule="atLeast"/>
              <w:textAlignment w:val="baseline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审核员：  李俐              审核时间：202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/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15（微信视频、语音、群沟通）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审核条款：</w:t>
            </w:r>
          </w:p>
          <w:p>
            <w:pPr>
              <w:spacing w:line="360" w:lineRule="auto"/>
              <w:rPr>
                <w:szCs w:val="22"/>
              </w:rPr>
            </w:pPr>
            <w:r>
              <w:rPr>
                <w:rFonts w:ascii="宋体" w:hAnsi="宋体"/>
                <w:sz w:val="18"/>
              </w:rPr>
              <w:t>E: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5.3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6.2、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6.1.2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 xml:space="preserve">8.1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 xml:space="preserve">8.2 </w:t>
            </w:r>
          </w:p>
          <w:p>
            <w:pPr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</w:tcPr>
          <w:p>
            <w:pPr>
              <w:spacing w:line="360" w:lineRule="auto"/>
              <w:rPr>
                <w:szCs w:val="22"/>
              </w:rPr>
            </w:pPr>
          </w:p>
          <w:p>
            <w:pPr>
              <w:spacing w:line="360" w:lineRule="auto"/>
              <w:rPr>
                <w:szCs w:val="22"/>
              </w:rPr>
            </w:pPr>
          </w:p>
          <w:p>
            <w:pPr>
              <w:spacing w:line="360" w:lineRule="auto"/>
              <w:rPr>
                <w:szCs w:val="22"/>
              </w:rPr>
            </w:pPr>
            <w:r>
              <w:rPr>
                <w:rFonts w:hint="eastAsia"/>
                <w:szCs w:val="22"/>
              </w:rPr>
              <w:t>组织的岗位职责和权限</w:t>
            </w:r>
          </w:p>
          <w:p/>
        </w:tc>
        <w:tc>
          <w:tcPr>
            <w:tcW w:w="960" w:type="dxa"/>
          </w:tcPr>
          <w:p>
            <w:pPr>
              <w:rPr>
                <w:szCs w:val="22"/>
              </w:rPr>
            </w:pPr>
          </w:p>
          <w:p>
            <w:pPr>
              <w:rPr>
                <w:szCs w:val="22"/>
              </w:rPr>
            </w:pPr>
          </w:p>
          <w:p>
            <w:pPr>
              <w:rPr>
                <w:szCs w:val="22"/>
              </w:rPr>
            </w:pPr>
          </w:p>
          <w:p>
            <w:pPr>
              <w:rPr>
                <w:szCs w:val="22"/>
              </w:rPr>
            </w:pPr>
          </w:p>
          <w:p>
            <w:r>
              <w:rPr>
                <w:rFonts w:hint="eastAsia"/>
                <w:szCs w:val="22"/>
              </w:rPr>
              <w:t>5.3</w:t>
            </w:r>
          </w:p>
        </w:tc>
        <w:tc>
          <w:tcPr>
            <w:tcW w:w="10004" w:type="dxa"/>
          </w:tcPr>
          <w:p>
            <w:pPr>
              <w:spacing w:line="360" w:lineRule="auto"/>
              <w:rPr>
                <w:rFonts w:hint="eastAsia" w:ascii="宋体" w:hAnsi="宋体" w:cs="Arial"/>
                <w:szCs w:val="24"/>
              </w:rPr>
            </w:pPr>
            <w:r>
              <w:rPr>
                <w:rFonts w:hint="eastAsia" w:ascii="宋体" w:hAnsi="宋体" w:eastAsia="宋体" w:cs="Arial"/>
                <w:szCs w:val="24"/>
                <w:lang w:val="en-US" w:eastAsia="zh-CN"/>
              </w:rPr>
              <w:t>鲁鹏经理</w:t>
            </w:r>
            <w:r>
              <w:rPr>
                <w:rFonts w:hint="eastAsia" w:ascii="宋体" w:hAnsi="宋体" w:eastAsia="宋体" w:cs="Arial"/>
                <w:szCs w:val="24"/>
              </w:rPr>
              <w:t>介绍本部门主要负责公司物资采购、管理与使用过程的信息交流、处置与监督管理工作；对供方合同中环境条款的审核评价，在合同中明确环境要求和责任等，并对其施加影响，使其满足公司环境管理的要求；供货方环境管理绩效和资质的调查、评审和</w:t>
            </w:r>
            <w:r>
              <w:rPr>
                <w:rFonts w:hint="eastAsia" w:ascii="宋体" w:hAnsi="宋体" w:cs="Arial"/>
                <w:szCs w:val="24"/>
              </w:rPr>
              <w:t>确认。</w:t>
            </w:r>
          </w:p>
          <w:p>
            <w:pPr>
              <w:spacing w:line="360" w:lineRule="auto"/>
            </w:pPr>
            <w:r>
              <w:rPr>
                <w:rFonts w:hint="eastAsia" w:ascii="宋体" w:hAnsi="宋体" w:cs="Arial"/>
                <w:szCs w:val="24"/>
              </w:rPr>
              <w:t>与部门负责人沟通，</w:t>
            </w:r>
            <w:r>
              <w:rPr>
                <w:rFonts w:hint="eastAsia" w:ascii="宋体" w:hAnsi="宋体" w:eastAsia="宋体" w:cs="Arial"/>
                <w:szCs w:val="24"/>
                <w:lang w:val="en-US" w:eastAsia="zh-CN"/>
              </w:rPr>
              <w:t>鲁鹏经理</w:t>
            </w:r>
            <w:r>
              <w:rPr>
                <w:rFonts w:hint="eastAsia" w:ascii="宋体" w:hAnsi="宋体" w:cs="Arial"/>
                <w:szCs w:val="24"/>
              </w:rPr>
              <w:t>了解本部门的职责权限。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2160" w:type="dxa"/>
          </w:tcPr>
          <w:p>
            <w:pPr>
              <w:rPr>
                <w:szCs w:val="22"/>
              </w:rPr>
            </w:pPr>
          </w:p>
          <w:p>
            <w:pPr>
              <w:rPr>
                <w:szCs w:val="22"/>
              </w:rPr>
            </w:pPr>
          </w:p>
          <w:p>
            <w:pPr>
              <w:rPr>
                <w:szCs w:val="22"/>
              </w:rPr>
            </w:pPr>
          </w:p>
          <w:p>
            <w:r>
              <w:rPr>
                <w:rFonts w:hint="eastAsia"/>
                <w:szCs w:val="22"/>
              </w:rPr>
              <w:t>目标及其实现的策划总要求、</w:t>
            </w:r>
          </w:p>
        </w:tc>
        <w:tc>
          <w:tcPr>
            <w:tcW w:w="960" w:type="dxa"/>
          </w:tcPr>
          <w:p>
            <w:pPr>
              <w:rPr>
                <w:szCs w:val="22"/>
              </w:rPr>
            </w:pPr>
          </w:p>
          <w:p>
            <w:pPr>
              <w:rPr>
                <w:szCs w:val="22"/>
              </w:rPr>
            </w:pPr>
          </w:p>
          <w:p>
            <w:pPr>
              <w:rPr>
                <w:szCs w:val="22"/>
              </w:rPr>
            </w:pPr>
          </w:p>
          <w:p>
            <w:r>
              <w:rPr>
                <w:rFonts w:hint="eastAsia"/>
                <w:szCs w:val="22"/>
              </w:rPr>
              <w:t>6.2</w:t>
            </w:r>
          </w:p>
        </w:tc>
        <w:tc>
          <w:tcPr>
            <w:tcW w:w="10004" w:type="dxa"/>
          </w:tcPr>
          <w:p>
            <w:pPr>
              <w:spacing w:line="360" w:lineRule="auto"/>
              <w:rPr>
                <w:szCs w:val="22"/>
              </w:rPr>
            </w:pPr>
            <w:r>
              <w:rPr>
                <w:rFonts w:hint="eastAsia"/>
                <w:szCs w:val="22"/>
              </w:rPr>
              <w:t>本部门的目标有:</w:t>
            </w:r>
          </w:p>
          <w:p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固体废弃物有效处置率100%</w:t>
            </w:r>
            <w:r>
              <w:rPr>
                <w:rFonts w:hint="eastAsia"/>
                <w:szCs w:val="22"/>
              </w:rPr>
              <w:t>；</w:t>
            </w:r>
            <w:r>
              <w:rPr>
                <w:szCs w:val="22"/>
              </w:rPr>
              <w:t>火灾发生率0</w:t>
            </w:r>
          </w:p>
          <w:p>
            <w:pPr>
              <w:rPr>
                <w:rFonts w:hint="eastAsia"/>
                <w:szCs w:val="22"/>
              </w:rPr>
            </w:pPr>
          </w:p>
          <w:p>
            <w:r>
              <w:rPr>
                <w:rFonts w:hint="eastAsia"/>
                <w:szCs w:val="22"/>
              </w:rPr>
              <w:t>经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/>
                <w:szCs w:val="22"/>
              </w:rPr>
              <w:t>考核以上各目标均已达成。考核人：</w:t>
            </w:r>
            <w:r>
              <w:rPr>
                <w:rFonts w:hint="eastAsia"/>
                <w:lang w:val="en-US" w:eastAsia="zh-CN"/>
              </w:rPr>
              <w:t>鲁鹏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2160" w:type="dxa"/>
          </w:tcPr>
          <w:p>
            <w:pPr>
              <w:spacing w:line="360" w:lineRule="auto"/>
              <w:rPr>
                <w:szCs w:val="22"/>
              </w:rPr>
            </w:pPr>
          </w:p>
          <w:p>
            <w:pPr>
              <w:spacing w:line="360" w:lineRule="auto"/>
              <w:rPr>
                <w:szCs w:val="22"/>
              </w:rPr>
            </w:pPr>
          </w:p>
          <w:p>
            <w:pPr>
              <w:spacing w:line="360" w:lineRule="auto"/>
              <w:rPr>
                <w:szCs w:val="22"/>
              </w:rPr>
            </w:pPr>
          </w:p>
          <w:p>
            <w:pPr>
              <w:spacing w:line="360" w:lineRule="auto"/>
              <w:rPr>
                <w:szCs w:val="22"/>
              </w:rPr>
            </w:pPr>
            <w:r>
              <w:rPr>
                <w:rFonts w:hint="eastAsia"/>
                <w:szCs w:val="22"/>
              </w:rPr>
              <w:t>环境因素</w:t>
            </w:r>
          </w:p>
          <w:p>
            <w:pPr>
              <w:spacing w:line="360" w:lineRule="auto"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 </w:t>
            </w:r>
          </w:p>
          <w:p>
            <w:pPr>
              <w:rPr>
                <w:szCs w:val="22"/>
              </w:rPr>
            </w:pPr>
          </w:p>
        </w:tc>
        <w:tc>
          <w:tcPr>
            <w:tcW w:w="960" w:type="dxa"/>
          </w:tcPr>
          <w:p>
            <w:pPr>
              <w:rPr>
                <w:szCs w:val="22"/>
              </w:rPr>
            </w:pPr>
          </w:p>
          <w:p>
            <w:pPr>
              <w:rPr>
                <w:szCs w:val="22"/>
              </w:rPr>
            </w:pPr>
          </w:p>
          <w:p>
            <w:pPr>
              <w:rPr>
                <w:szCs w:val="22"/>
              </w:rPr>
            </w:pPr>
          </w:p>
          <w:p>
            <w:pPr>
              <w:rPr>
                <w:szCs w:val="22"/>
              </w:rPr>
            </w:pPr>
          </w:p>
          <w:p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6.1.2</w:t>
            </w:r>
          </w:p>
        </w:tc>
        <w:tc>
          <w:tcPr>
            <w:tcW w:w="10004" w:type="dxa"/>
          </w:tcPr>
          <w:p>
            <w:pPr>
              <w:spacing w:line="360" w:lineRule="auto"/>
              <w:rPr>
                <w:szCs w:val="22"/>
              </w:rPr>
            </w:pPr>
            <w:r>
              <w:rPr>
                <w:rFonts w:hint="eastAsia"/>
                <w:szCs w:val="22"/>
              </w:rPr>
              <w:t>查有：《环境因素的识别、评价控制程序》。</w:t>
            </w:r>
          </w:p>
          <w:p>
            <w:pPr>
              <w:spacing w:line="360" w:lineRule="auto"/>
              <w:rPr>
                <w:szCs w:val="22"/>
              </w:rPr>
            </w:pPr>
            <w:r>
              <w:rPr>
                <w:rFonts w:hint="eastAsia"/>
                <w:szCs w:val="22"/>
              </w:rPr>
              <w:t>查</w:t>
            </w:r>
            <w:r>
              <w:rPr>
                <w:rFonts w:hint="eastAsia"/>
                <w:szCs w:val="22"/>
                <w:lang w:eastAsia="zh-CN"/>
              </w:rPr>
              <w:t>采购部</w:t>
            </w:r>
            <w:r>
              <w:rPr>
                <w:rFonts w:hint="eastAsia"/>
                <w:szCs w:val="22"/>
              </w:rPr>
              <w:t>的《环境因素识别评价表》，识别了本部门在办公、采购、销售、相关方等各有关过程的环境因素，包括日光灯更换、电脑使用用电消耗、办公纸张、销售产品、销售活动宣传材料的处置、车辆尾气排放、废包装物排放等环境因素，能考虑生命周期观点。</w:t>
            </w:r>
          </w:p>
          <w:p>
            <w:pPr>
              <w:spacing w:line="360" w:lineRule="auto"/>
              <w:rPr>
                <w:szCs w:val="22"/>
              </w:rPr>
            </w:pPr>
            <w:r>
              <w:rPr>
                <w:rFonts w:hint="eastAsia"/>
                <w:szCs w:val="22"/>
              </w:rPr>
              <w:t>查《重要环境因素清单》，涉及本部门有2项重要环境因素，包括：固体废弃物的排放、火灾。</w:t>
            </w:r>
          </w:p>
          <w:p>
            <w:pPr>
              <w:spacing w:line="360" w:lineRule="auto"/>
              <w:rPr>
                <w:szCs w:val="22"/>
              </w:rPr>
            </w:pPr>
            <w:r>
              <w:rPr>
                <w:rFonts w:hint="eastAsia"/>
                <w:szCs w:val="22"/>
              </w:rPr>
              <w:t>控制措施：固废分类存放、垃圾等由办公室负责按规定处置，包装物分类卖掉，培训教育，消防配备有消防器材、应急预案等措施。</w:t>
            </w:r>
          </w:p>
          <w:p>
            <w:pPr>
              <w:spacing w:line="360" w:lineRule="auto"/>
            </w:pPr>
            <w:r>
              <w:rPr>
                <w:rFonts w:hint="eastAsia"/>
                <w:szCs w:val="22"/>
              </w:rPr>
              <w:t xml:space="preserve"> 部门识别和评价基本充分，符合规定要求。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2160" w:type="dxa"/>
          </w:tcPr>
          <w:p>
            <w:pPr>
              <w:rPr>
                <w:szCs w:val="22"/>
              </w:rPr>
            </w:pPr>
          </w:p>
          <w:p>
            <w:pPr>
              <w:rPr>
                <w:szCs w:val="22"/>
              </w:rPr>
            </w:pPr>
          </w:p>
          <w:p>
            <w:pPr>
              <w:rPr>
                <w:szCs w:val="22"/>
              </w:rPr>
            </w:pPr>
          </w:p>
          <w:p>
            <w:pPr>
              <w:rPr>
                <w:szCs w:val="22"/>
              </w:rPr>
            </w:pPr>
          </w:p>
          <w:p>
            <w:pPr>
              <w:rPr>
                <w:szCs w:val="22"/>
              </w:rPr>
            </w:pPr>
          </w:p>
          <w:p>
            <w:pPr>
              <w:rPr>
                <w:szCs w:val="22"/>
              </w:rPr>
            </w:pPr>
          </w:p>
          <w:p>
            <w:pPr>
              <w:rPr>
                <w:szCs w:val="22"/>
              </w:rPr>
            </w:pPr>
          </w:p>
          <w:p>
            <w:r>
              <w:rPr>
                <w:rFonts w:hint="eastAsia"/>
                <w:szCs w:val="22"/>
              </w:rPr>
              <w:t>运行策划和控制</w:t>
            </w:r>
          </w:p>
        </w:tc>
        <w:tc>
          <w:tcPr>
            <w:tcW w:w="960" w:type="dxa"/>
          </w:tcPr>
          <w:p>
            <w:pPr>
              <w:rPr>
                <w:szCs w:val="22"/>
              </w:rPr>
            </w:pPr>
          </w:p>
          <w:p>
            <w:pPr>
              <w:rPr>
                <w:szCs w:val="22"/>
              </w:rPr>
            </w:pPr>
          </w:p>
          <w:p>
            <w:pPr>
              <w:rPr>
                <w:szCs w:val="22"/>
              </w:rPr>
            </w:pPr>
          </w:p>
          <w:p>
            <w:pPr>
              <w:rPr>
                <w:szCs w:val="22"/>
              </w:rPr>
            </w:pPr>
          </w:p>
          <w:p>
            <w:pPr>
              <w:rPr>
                <w:szCs w:val="22"/>
              </w:rPr>
            </w:pPr>
          </w:p>
          <w:p>
            <w:pPr>
              <w:rPr>
                <w:szCs w:val="22"/>
              </w:rPr>
            </w:pPr>
          </w:p>
          <w:p>
            <w:pPr>
              <w:rPr>
                <w:szCs w:val="22"/>
              </w:rPr>
            </w:pPr>
          </w:p>
          <w:p>
            <w:r>
              <w:rPr>
                <w:rFonts w:hint="eastAsia"/>
                <w:szCs w:val="22"/>
                <w:lang w:val="en-US" w:eastAsia="zh-CN"/>
              </w:rPr>
              <w:t>E</w:t>
            </w:r>
            <w:r>
              <w:rPr>
                <w:rFonts w:hint="eastAsia"/>
                <w:szCs w:val="22"/>
              </w:rPr>
              <w:t>8.1</w:t>
            </w:r>
          </w:p>
        </w:tc>
        <w:tc>
          <w:tcPr>
            <w:tcW w:w="10004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现场巡视，本部门办公现场光照、温度适宜，未开启照明和空调，无水龙头跑冒滴漏现象。打印纸张非重要文件双面打印，垃圾箱分类存放，电器、线路完好无破损，纸张、用电、安全等通过日常培训提高员工节能、安全意识，通过电话、传真等形式告知客户组织的有关要求。日常对汽车做好保养，定期年检，防止交通事故的发生。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查见《库房日常检查表》、按既定的项目及频次对相关部位实施监控，从检查情况来看，各检查项均良好。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公司识别出与组织相关的客户、社会机构、周围企业、供方等相关方，提供了</w:t>
            </w:r>
            <w:r>
              <w:rPr>
                <w:rFonts w:hint="eastAsia"/>
                <w:lang w:val="en-US" w:eastAsia="zh-CN"/>
              </w:rPr>
              <w:t>2022.1.5</w:t>
            </w:r>
            <w:r>
              <w:rPr>
                <w:rFonts w:hint="eastAsia"/>
              </w:rPr>
              <w:t>日组织对相关方的《致供应商的信函》及《相关方环境要求承诺书》。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查在</w:t>
            </w:r>
            <w:r>
              <w:rPr>
                <w:rFonts w:hint="eastAsia"/>
              </w:rPr>
              <w:t>库房</w:t>
            </w:r>
            <w:r>
              <w:rPr>
                <w:rFonts w:hint="eastAsia"/>
                <w:lang w:val="en-US" w:eastAsia="zh-CN"/>
              </w:rPr>
              <w:t>危废分类摆放，设</w:t>
            </w:r>
            <w:r>
              <w:rPr>
                <w:rFonts w:hint="eastAsia"/>
              </w:rPr>
              <w:t xml:space="preserve">有危废物暂存区以及的警示标志明显。 </w:t>
            </w:r>
            <w:r>
              <w:t>有管理制度</w:t>
            </w:r>
            <w:r>
              <w:rPr>
                <w:rFonts w:hint="eastAsia"/>
              </w:rPr>
              <w:t>，危废已分类隔离存放，门口有灭火器和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消防沙。库房有危废台账。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3"/>
              <w:rPr>
                <w:rFonts w:hint="eastAsia"/>
                <w:color w:val="000000" w:themeColor="text1"/>
              </w:rPr>
            </w:pPr>
          </w:p>
          <w:p>
            <w:pPr>
              <w:pStyle w:val="3"/>
              <w:rPr>
                <w:rFonts w:hint="eastAsia"/>
                <w:color w:val="000000" w:themeColor="text1"/>
              </w:rPr>
            </w:pPr>
            <w:r>
              <w:rPr>
                <w:rFonts w:hint="eastAsia" w:eastAsia="宋体"/>
                <w:color w:val="000000" w:themeColor="text1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3166745</wp:posOffset>
                  </wp:positionH>
                  <wp:positionV relativeFrom="paragraph">
                    <wp:posOffset>124460</wp:posOffset>
                  </wp:positionV>
                  <wp:extent cx="3204210" cy="1557655"/>
                  <wp:effectExtent l="0" t="0" r="8890" b="4445"/>
                  <wp:wrapNone/>
                  <wp:docPr id="2" name="图片 2" descr="4f086f1dad7ecafe2a6878d4f8937d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4f086f1dad7ecafe2a6878d4f8937dc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4210" cy="1557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eastAsia="宋体"/>
                <w:color w:val="000000" w:themeColor="text1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-26035</wp:posOffset>
                  </wp:positionH>
                  <wp:positionV relativeFrom="paragraph">
                    <wp:posOffset>128905</wp:posOffset>
                  </wp:positionV>
                  <wp:extent cx="3169920" cy="1730375"/>
                  <wp:effectExtent l="0" t="0" r="5080" b="9525"/>
                  <wp:wrapNone/>
                  <wp:docPr id="1" name="图片 1" descr="06b0e6086e84e933f7799a3518cbc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06b0e6086e84e933f7799a3518cbc4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r="12996" b="229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9920" cy="1730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3"/>
              <w:rPr>
                <w:rFonts w:hint="eastAsia" w:eastAsia="宋体"/>
                <w:color w:val="000000" w:themeColor="text1"/>
                <w:lang w:eastAsia="zh-CN"/>
              </w:rPr>
            </w:pPr>
          </w:p>
          <w:p>
            <w:pPr>
              <w:pStyle w:val="3"/>
              <w:rPr>
                <w:rFonts w:hint="eastAsia"/>
                <w:color w:val="000000" w:themeColor="text1"/>
              </w:rPr>
            </w:pPr>
          </w:p>
          <w:p>
            <w:pPr>
              <w:pStyle w:val="3"/>
              <w:rPr>
                <w:rFonts w:hint="eastAsia"/>
                <w:color w:val="000000" w:themeColor="text1"/>
              </w:rPr>
            </w:pPr>
          </w:p>
          <w:p>
            <w:pPr>
              <w:pStyle w:val="3"/>
              <w:rPr>
                <w:rFonts w:hint="eastAsia" w:eastAsia="宋体"/>
                <w:color w:val="000000" w:themeColor="text1"/>
                <w:lang w:eastAsia="zh-CN"/>
              </w:rPr>
            </w:pPr>
          </w:p>
          <w:p>
            <w:pPr>
              <w:pStyle w:val="3"/>
              <w:rPr>
                <w:rFonts w:hint="eastAsia"/>
                <w:color w:val="000000" w:themeColor="text1"/>
              </w:rPr>
            </w:pPr>
          </w:p>
          <w:p>
            <w:pPr>
              <w:pStyle w:val="3"/>
              <w:rPr>
                <w:rFonts w:hint="eastAsia"/>
                <w:color w:val="000000" w:themeColor="text1"/>
              </w:rPr>
            </w:pPr>
          </w:p>
          <w:p>
            <w:pPr>
              <w:pStyle w:val="3"/>
              <w:rPr>
                <w:rFonts w:hint="eastAsia" w:eastAsia="宋体"/>
                <w:color w:val="000000" w:themeColor="text1"/>
                <w:lang w:eastAsia="zh-CN"/>
              </w:rPr>
            </w:pPr>
          </w:p>
          <w:p>
            <w:pPr>
              <w:pStyle w:val="3"/>
              <w:rPr>
                <w:rFonts w:hint="eastAsia"/>
                <w:color w:val="000000" w:themeColor="text1"/>
              </w:rPr>
            </w:pPr>
            <w:r>
              <w:rPr>
                <w:rFonts w:hint="eastAsia" w:eastAsia="宋体"/>
                <w:color w:val="000000" w:themeColor="text1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741045</wp:posOffset>
                  </wp:positionH>
                  <wp:positionV relativeFrom="paragraph">
                    <wp:posOffset>-500380</wp:posOffset>
                  </wp:positionV>
                  <wp:extent cx="1651635" cy="3056255"/>
                  <wp:effectExtent l="0" t="0" r="4445" b="12065"/>
                  <wp:wrapNone/>
                  <wp:docPr id="6" name="图片 6" descr="7b94c3812e4e6cf2ef9224124cc95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7b94c3812e4e6cf2ef9224124cc950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b="10054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651635" cy="3056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3"/>
              <w:rPr>
                <w:rFonts w:hint="eastAsia"/>
                <w:color w:val="000000" w:themeColor="text1"/>
              </w:rPr>
            </w:pPr>
          </w:p>
          <w:p>
            <w:pPr>
              <w:pStyle w:val="3"/>
              <w:rPr>
                <w:rFonts w:hint="eastAsia" w:eastAsia="宋体"/>
                <w:color w:val="000000" w:themeColor="text1"/>
                <w:lang w:eastAsia="zh-CN"/>
              </w:rPr>
            </w:pPr>
          </w:p>
          <w:p>
            <w:pPr>
              <w:pStyle w:val="3"/>
              <w:rPr>
                <w:rFonts w:hint="eastAsia"/>
                <w:color w:val="000000" w:themeColor="text1"/>
              </w:rPr>
            </w:pPr>
          </w:p>
          <w:p>
            <w:pPr>
              <w:pStyle w:val="3"/>
              <w:rPr>
                <w:rFonts w:hint="eastAsia"/>
                <w:color w:val="000000" w:themeColor="text1"/>
              </w:rPr>
            </w:pPr>
          </w:p>
          <w:p>
            <w:pPr>
              <w:pStyle w:val="3"/>
              <w:rPr>
                <w:rFonts w:hint="eastAsia"/>
                <w:color w:val="000000" w:themeColor="text1"/>
              </w:rPr>
            </w:pPr>
          </w:p>
          <w:p>
            <w:pPr>
              <w:pStyle w:val="3"/>
              <w:rPr>
                <w:rFonts w:hint="eastAsia"/>
                <w:color w:val="000000" w:themeColor="text1"/>
              </w:rPr>
            </w:pPr>
          </w:p>
          <w:p>
            <w:pPr>
              <w:pStyle w:val="3"/>
              <w:rPr>
                <w:rFonts w:hint="eastAsia"/>
                <w:color w:val="000000" w:themeColor="text1"/>
              </w:rPr>
            </w:pPr>
          </w:p>
          <w:p>
            <w:pPr>
              <w:pStyle w:val="3"/>
              <w:rPr>
                <w:rFonts w:hint="eastAsia"/>
                <w:color w:val="000000" w:themeColor="text1"/>
              </w:rPr>
            </w:pPr>
          </w:p>
          <w:p>
            <w:pPr>
              <w:pStyle w:val="3"/>
              <w:rPr>
                <w:rFonts w:hint="eastAsia"/>
                <w:color w:val="000000" w:themeColor="text1"/>
              </w:rPr>
            </w:pP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</w:tcPr>
          <w:p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 </w:t>
            </w:r>
          </w:p>
          <w:p>
            <w:pPr>
              <w:rPr>
                <w:szCs w:val="22"/>
              </w:rPr>
            </w:pPr>
          </w:p>
          <w:p>
            <w:pPr>
              <w:rPr>
                <w:szCs w:val="22"/>
              </w:rPr>
            </w:pPr>
          </w:p>
          <w:p>
            <w:pPr>
              <w:rPr>
                <w:szCs w:val="22"/>
              </w:rPr>
            </w:pPr>
            <w:r>
              <w:rPr>
                <w:rFonts w:hint="eastAsia" w:ascii="宋体" w:hAnsi="宋体" w:cs="Arial"/>
                <w:szCs w:val="24"/>
              </w:rPr>
              <w:t>应急准备和响应。</w:t>
            </w:r>
          </w:p>
        </w:tc>
        <w:tc>
          <w:tcPr>
            <w:tcW w:w="960" w:type="dxa"/>
          </w:tcPr>
          <w:p>
            <w:pPr>
              <w:rPr>
                <w:rFonts w:ascii="宋体" w:hAnsi="宋体" w:cs="Arial"/>
                <w:szCs w:val="24"/>
              </w:rPr>
            </w:pPr>
          </w:p>
          <w:p>
            <w:pPr>
              <w:rPr>
                <w:rFonts w:ascii="宋体" w:hAnsi="宋体" w:cs="Arial"/>
                <w:szCs w:val="24"/>
              </w:rPr>
            </w:pPr>
          </w:p>
          <w:p>
            <w:pPr>
              <w:rPr>
                <w:rFonts w:ascii="宋体" w:hAnsi="宋体" w:cs="Arial"/>
                <w:szCs w:val="24"/>
              </w:rPr>
            </w:pPr>
          </w:p>
          <w:p>
            <w:pPr>
              <w:rPr>
                <w:szCs w:val="22"/>
              </w:rPr>
            </w:pPr>
            <w:r>
              <w:rPr>
                <w:rFonts w:hint="eastAsia" w:ascii="宋体" w:hAnsi="宋体" w:cs="Arial"/>
                <w:szCs w:val="24"/>
              </w:rPr>
              <w:t>8.2</w:t>
            </w:r>
          </w:p>
        </w:tc>
        <w:tc>
          <w:tcPr>
            <w:tcW w:w="10004" w:type="dxa"/>
          </w:tcPr>
          <w:p>
            <w:pPr>
              <w:spacing w:line="360" w:lineRule="auto"/>
              <w:rPr>
                <w:szCs w:val="22"/>
              </w:rPr>
            </w:pPr>
            <w:r>
              <w:rPr>
                <w:rFonts w:hint="eastAsia"/>
                <w:szCs w:val="22"/>
              </w:rPr>
              <w:t>编制了《火灾应急预案》，其中包括目的、适用范围、职责、应急领导小组成员职责、程序、现场应急措施等，相关内容基本充分。</w:t>
            </w:r>
          </w:p>
          <w:p>
            <w:pPr>
              <w:spacing w:line="360" w:lineRule="auto"/>
              <w:rPr>
                <w:szCs w:val="22"/>
              </w:rPr>
            </w:pPr>
            <w:r>
              <w:rPr>
                <w:rFonts w:hint="eastAsia"/>
                <w:szCs w:val="22"/>
              </w:rPr>
              <w:t>参加了由公司组织的消防演练。</w:t>
            </w:r>
          </w:p>
          <w:p>
            <w:pPr>
              <w:spacing w:line="360" w:lineRule="auto"/>
            </w:pPr>
            <w:r>
              <w:rPr>
                <w:rFonts w:hint="eastAsia"/>
                <w:szCs w:val="22"/>
              </w:rPr>
              <w:t>自体系运行以来未发生应急情况。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  <w:bookmarkStart w:id="0" w:name="_GoBack"/>
            <w:bookmarkEnd w:id="0"/>
          </w:p>
        </w:tc>
      </w:tr>
    </w:tbl>
    <w:p/>
    <w:p/>
    <w:p>
      <w:pPr>
        <w:pStyle w:val="5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68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0" w:usb3="00000000" w:csb0="0010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620.4pt;margin-top:12.55pt;height:20.2pt;width:102.7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ISC-B-II-12(05版）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6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000000"/>
    <w:rsid w:val="15306EBE"/>
    <w:rsid w:val="371524C5"/>
    <w:rsid w:val="46296BE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3"/>
    <w:qFormat/>
    <w:uiPriority w:val="0"/>
    <w:pPr>
      <w:keepNext/>
      <w:adjustRightInd w:val="0"/>
      <w:snapToGrid w:val="0"/>
      <w:spacing w:line="400" w:lineRule="atLeast"/>
      <w:ind w:right="48"/>
      <w:jc w:val="center"/>
      <w:textAlignment w:val="baseline"/>
      <w:outlineLvl w:val="1"/>
    </w:pPr>
    <w:rPr>
      <w:rFonts w:ascii="MingLiU" w:eastAsia="MingLiU"/>
      <w:kern w:val="0"/>
      <w:sz w:val="2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87</Characters>
  <Lines>1</Lines>
  <Paragraphs>1</Paragraphs>
  <TotalTime>2</TotalTime>
  <ScaleCrop>false</ScaleCrop>
  <LinksUpToDate>false</LinksUpToDate>
  <CharactersWithSpaces>101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LIL</cp:lastModifiedBy>
  <dcterms:modified xsi:type="dcterms:W3CDTF">2022-10-07T12:29:19Z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BEF2CB7823AC4D9891B89EAFB514E4EC</vt:lpwstr>
  </property>
  <property fmtid="{D5CDD505-2E9C-101B-9397-08002B2CF9AE}" pid="3" name="KSOProductBuildVer">
    <vt:lpwstr>2052-11.1.0.12358</vt:lpwstr>
  </property>
</Properties>
</file>