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w:t>
            </w:r>
            <w:r>
              <w:rPr>
                <w:rFonts w:hint="eastAsia" w:ascii="宋体" w:hAnsi="宋体" w:cs="宋体"/>
                <w:szCs w:val="21"/>
                <w:lang w:val="en-US" w:eastAsia="zh-CN"/>
              </w:rPr>
              <w:t>鲁刚</w:t>
            </w:r>
            <w:r>
              <w:rPr>
                <w:rFonts w:hint="eastAsia" w:ascii="宋体" w:hAnsi="宋体" w:cs="宋体"/>
                <w:szCs w:val="21"/>
              </w:rPr>
              <w:t xml:space="preserve">                管理者代表：</w:t>
            </w:r>
            <w:r>
              <w:rPr>
                <w:rFonts w:hint="eastAsia" w:ascii="宋体" w:hAnsi="宋体" w:cs="宋体"/>
                <w:szCs w:val="21"/>
                <w:lang w:val="en-US" w:eastAsia="zh-CN"/>
              </w:rPr>
              <w:t>黎张礼</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审核员：李俐                        审核时间：202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13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tabs>
                <w:tab w:val="left" w:pos="709"/>
              </w:tabs>
              <w:spacing w:line="360" w:lineRule="auto"/>
              <w:ind w:right="57"/>
              <w:jc w:val="left"/>
            </w:pPr>
            <w:r>
              <w:rPr>
                <w:rFonts w:ascii="宋体" w:hAnsi="宋体"/>
                <w:sz w:val="18"/>
              </w:rPr>
              <w:t>E:</w:t>
            </w:r>
            <w:r>
              <w:rPr>
                <w:rFonts w:hint="eastAsia"/>
              </w:rPr>
              <w:t>4.1</w:t>
            </w:r>
            <w:r>
              <w:rPr>
                <w:rFonts w:hint="eastAsia"/>
                <w:lang w:eastAsia="zh-CN"/>
              </w:rPr>
              <w:t>、</w:t>
            </w:r>
            <w:r>
              <w:rPr>
                <w:rFonts w:hint="eastAsia"/>
              </w:rPr>
              <w:t xml:space="preserve"> 4.2 </w:t>
            </w:r>
            <w:r>
              <w:rPr>
                <w:rFonts w:hint="eastAsia"/>
                <w:lang w:eastAsia="zh-CN"/>
              </w:rPr>
              <w:t>、</w:t>
            </w:r>
            <w:r>
              <w:rPr>
                <w:rFonts w:hint="eastAsia"/>
              </w:rPr>
              <w:t xml:space="preserve">4.3 </w:t>
            </w:r>
            <w:r>
              <w:rPr>
                <w:rFonts w:hint="eastAsia"/>
                <w:lang w:eastAsia="zh-CN"/>
              </w:rPr>
              <w:t>、</w:t>
            </w:r>
            <w:r>
              <w:rPr>
                <w:rFonts w:hint="eastAsia"/>
              </w:rPr>
              <w:t>4.4</w:t>
            </w:r>
            <w:r>
              <w:rPr>
                <w:rFonts w:hint="eastAsia"/>
                <w:lang w:eastAsia="zh-CN"/>
              </w:rPr>
              <w:t>、</w:t>
            </w:r>
            <w:r>
              <w:rPr>
                <w:rFonts w:hint="eastAsia"/>
              </w:rPr>
              <w:t xml:space="preserve"> 5.1 </w:t>
            </w:r>
            <w:r>
              <w:rPr>
                <w:rFonts w:hint="eastAsia"/>
                <w:lang w:eastAsia="zh-CN"/>
              </w:rPr>
              <w:t>、</w:t>
            </w:r>
            <w:r>
              <w:rPr>
                <w:rFonts w:hint="eastAsia"/>
              </w:rPr>
              <w:t xml:space="preserve">5.2 </w:t>
            </w:r>
            <w:r>
              <w:rPr>
                <w:rFonts w:hint="eastAsia"/>
                <w:lang w:eastAsia="zh-CN"/>
              </w:rPr>
              <w:t>、</w:t>
            </w:r>
            <w:r>
              <w:rPr>
                <w:rFonts w:hint="eastAsia"/>
              </w:rPr>
              <w:t>5.3</w:t>
            </w:r>
            <w:r>
              <w:rPr>
                <w:rFonts w:hint="eastAsia"/>
                <w:lang w:eastAsia="zh-CN"/>
              </w:rPr>
              <w:t>、</w:t>
            </w:r>
            <w:r>
              <w:rPr>
                <w:rFonts w:hint="eastAsia"/>
              </w:rPr>
              <w:t xml:space="preserve"> 6.1</w:t>
            </w:r>
            <w:r>
              <w:rPr>
                <w:rFonts w:hint="eastAsia"/>
                <w:lang w:eastAsia="zh-CN"/>
              </w:rPr>
              <w:t>、</w:t>
            </w:r>
            <w:r>
              <w:rPr>
                <w:rFonts w:hint="eastAsia"/>
              </w:rPr>
              <w:t xml:space="preserve"> 6.2</w:t>
            </w:r>
            <w:r>
              <w:rPr>
                <w:rFonts w:hint="eastAsia"/>
                <w:lang w:eastAsia="zh-CN"/>
              </w:rPr>
              <w:t>、</w:t>
            </w:r>
            <w:r>
              <w:rPr>
                <w:rFonts w:hint="eastAsia"/>
              </w:rPr>
              <w:t xml:space="preserve"> 7.1</w:t>
            </w:r>
            <w:r>
              <w:rPr>
                <w:rFonts w:hint="eastAsia"/>
                <w:lang w:eastAsia="zh-CN"/>
              </w:rPr>
              <w:t>、</w:t>
            </w:r>
            <w:r>
              <w:rPr>
                <w:rFonts w:hint="eastAsia"/>
              </w:rPr>
              <w:t xml:space="preserve"> 7.4</w:t>
            </w:r>
            <w:r>
              <w:rPr>
                <w:rFonts w:hint="eastAsia"/>
                <w:lang w:eastAsia="zh-CN"/>
              </w:rPr>
              <w:t>、</w:t>
            </w:r>
            <w:r>
              <w:rPr>
                <w:rFonts w:hint="eastAsia"/>
              </w:rPr>
              <w:t xml:space="preserve"> 9.3 </w:t>
            </w:r>
            <w:r>
              <w:rPr>
                <w:rFonts w:hint="eastAsia"/>
                <w:lang w:eastAsia="zh-CN"/>
              </w:rPr>
              <w:t>、</w:t>
            </w:r>
            <w:r>
              <w:rPr>
                <w:rFonts w:hint="eastAsia"/>
              </w:rPr>
              <w:t>10.1</w:t>
            </w:r>
          </w:p>
          <w:p>
            <w:pPr>
              <w:snapToGrid w:val="0"/>
              <w:spacing w:line="360" w:lineRule="auto"/>
            </w:pPr>
            <w:r>
              <w:rPr>
                <w:rFonts w:hint="eastAsia"/>
              </w:rPr>
              <w:t>资质验证</w:t>
            </w:r>
            <w:r>
              <w:rPr>
                <w:rFonts w:hint="eastAsia"/>
                <w:lang w:eastAsia="zh-CN"/>
              </w:rPr>
              <w:t>、</w:t>
            </w:r>
            <w:r>
              <w:rPr>
                <w:rFonts w:hint="eastAsia"/>
              </w:rPr>
              <w:t>范围再确认</w:t>
            </w:r>
            <w:r>
              <w:rPr>
                <w:rFonts w:hint="eastAsia"/>
                <w:lang w:eastAsia="zh-CN"/>
              </w:rPr>
              <w:t>、</w:t>
            </w:r>
            <w:r>
              <w:rPr>
                <w:rFonts w:hint="eastAsia"/>
              </w:rPr>
              <w:t>上次审核问题验证</w:t>
            </w:r>
            <w:r>
              <w:rPr>
                <w:rFonts w:hint="eastAsia"/>
                <w:lang w:eastAsia="zh-CN"/>
              </w:rPr>
              <w:t>、</w:t>
            </w:r>
            <w:r>
              <w:rPr>
                <w:rFonts w:hint="eastAsia"/>
              </w:rPr>
              <w:t>投诉或事故</w:t>
            </w:r>
            <w:r>
              <w:rPr>
                <w:rFonts w:hint="eastAsia"/>
                <w:lang w:eastAsia="zh-CN"/>
              </w:rPr>
              <w:t>、</w:t>
            </w:r>
            <w:r>
              <w:rPr>
                <w:rFonts w:hint="eastAsia"/>
              </w:rPr>
              <w:t>政府主管部门监督抽查情况</w:t>
            </w:r>
            <w:r>
              <w:rPr>
                <w:rFonts w:hint="eastAsia"/>
                <w:lang w:eastAsia="zh-CN"/>
              </w:rPr>
              <w:t>、</w:t>
            </w:r>
            <w:r>
              <w:rPr>
                <w:rFonts w:hint="eastAsia"/>
              </w:rPr>
              <w:t>证书、标志使用情况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07"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spacing w:line="360" w:lineRule="auto"/>
              <w:rPr>
                <w:rFonts w:ascii="宋体" w:hAnsi="宋体" w:cs="宋体"/>
                <w:szCs w:val="21"/>
              </w:rPr>
            </w:pPr>
          </w:p>
        </w:tc>
        <w:tc>
          <w:tcPr>
            <w:tcW w:w="950" w:type="dxa"/>
            <w:vAlign w:val="center"/>
          </w:tcPr>
          <w:p>
            <w:pPr>
              <w:spacing w:line="280" w:lineRule="exact"/>
              <w:rPr>
                <w:rFonts w:ascii="宋体" w:hAnsi="宋体" w:cs="宋体"/>
                <w:szCs w:val="21"/>
              </w:rPr>
            </w:pPr>
            <w:r>
              <w:rPr>
                <w:rFonts w:hint="eastAsia" w:ascii="宋体" w:hAnsi="宋体" w:cs="宋体"/>
                <w:szCs w:val="21"/>
              </w:rPr>
              <w:t>E 4.3</w:t>
            </w:r>
          </w:p>
          <w:p>
            <w:pPr>
              <w:spacing w:line="360" w:lineRule="auto"/>
              <w:rPr>
                <w:rFonts w:ascii="宋体" w:hAnsi="宋体" w:cs="宋体"/>
                <w:szCs w:val="21"/>
              </w:rPr>
            </w:pPr>
          </w:p>
        </w:tc>
        <w:tc>
          <w:tcPr>
            <w:tcW w:w="11206" w:type="dxa"/>
            <w:vAlign w:val="center"/>
          </w:tcPr>
          <w:p>
            <w:pPr>
              <w:spacing w:line="360" w:lineRule="auto"/>
              <w:jc w:val="left"/>
            </w:pPr>
            <w:r>
              <w:rPr>
                <w:rFonts w:hint="eastAsia"/>
              </w:rPr>
              <w:t>公司名称：</w:t>
            </w:r>
            <w:r>
              <w:rPr>
                <w:rFonts w:hint="eastAsia"/>
                <w:lang w:val="en-US" w:eastAsia="zh-CN"/>
              </w:rPr>
              <w:t>宝鸡天王机械有限责任公司，</w:t>
            </w:r>
            <w:r>
              <w:rPr>
                <w:rFonts w:hint="eastAsia"/>
              </w:rPr>
              <w:t>法人代表：</w:t>
            </w:r>
            <w:r>
              <w:rPr>
                <w:rFonts w:hint="eastAsia"/>
                <w:lang w:eastAsia="zh-CN"/>
              </w:rPr>
              <w:t>鲁刚</w:t>
            </w:r>
            <w:r>
              <w:rPr>
                <w:rFonts w:hint="eastAsia"/>
              </w:rPr>
              <w:t>。</w:t>
            </w:r>
          </w:p>
          <w:p>
            <w:pPr>
              <w:spacing w:line="360" w:lineRule="auto"/>
              <w:jc w:val="left"/>
            </w:pPr>
            <w:r>
              <w:rPr>
                <w:rFonts w:hint="eastAsia"/>
              </w:rPr>
              <w:t>注册地</w:t>
            </w:r>
            <w:r>
              <w:rPr>
                <w:rFonts w:hint="eastAsia"/>
                <w:lang w:eastAsia="zh-CN"/>
              </w:rPr>
              <w:t>、</w:t>
            </w:r>
            <w:r>
              <w:rPr>
                <w:rFonts w:hint="eastAsia"/>
                <w:lang w:val="de-DE"/>
              </w:rPr>
              <w:t>经营地</w:t>
            </w:r>
            <w:r>
              <w:rPr>
                <w:rFonts w:hint="eastAsia"/>
              </w:rPr>
              <w:t>：</w:t>
            </w:r>
            <w:r>
              <w:rPr>
                <w:rFonts w:hint="eastAsia"/>
                <w:lang w:val="en-US" w:eastAsia="zh-CN"/>
              </w:rPr>
              <w:t>陕</w:t>
            </w:r>
            <w:r>
              <w:rPr>
                <w:rFonts w:hint="eastAsia"/>
              </w:rPr>
              <w:t>西省宝鸡市高新开发区天王镇</w:t>
            </w:r>
            <w:r>
              <w:rPr>
                <w:rFonts w:hint="eastAsia"/>
                <w:lang w:eastAsia="zh-CN"/>
              </w:rPr>
              <w:t>，</w:t>
            </w:r>
            <w:r>
              <w:rPr>
                <w:rFonts w:hint="eastAsia"/>
              </w:rPr>
              <w:t>注册资金</w:t>
            </w:r>
            <w:r>
              <w:rPr>
                <w:rFonts w:hint="eastAsia"/>
                <w:lang w:val="en-US" w:eastAsia="zh-CN"/>
              </w:rPr>
              <w:t>55</w:t>
            </w:r>
            <w:r>
              <w:rPr>
                <w:rFonts w:hint="eastAsia"/>
              </w:rPr>
              <w:t>0万元。</w:t>
            </w:r>
          </w:p>
          <w:p>
            <w:pPr>
              <w:spacing w:line="360" w:lineRule="auto"/>
              <w:jc w:val="left"/>
              <w:rPr>
                <w:rFonts w:hint="eastAsia"/>
                <w:lang w:eastAsia="zh-CN"/>
              </w:rPr>
            </w:pPr>
            <w:r>
              <w:rPr>
                <w:rFonts w:hint="eastAsia"/>
              </w:rPr>
              <w:t>营业执照：汽车</w:t>
            </w:r>
            <w:r>
              <w:rPr>
                <w:rFonts w:hint="eastAsia"/>
                <w:lang w:val="en-US" w:eastAsia="zh-CN"/>
              </w:rPr>
              <w:t>配件、机床配件、拖拉机配件加工，农机具修理</w:t>
            </w:r>
            <w:r>
              <w:rPr>
                <w:rFonts w:hint="eastAsia"/>
                <w:lang w:eastAsia="zh-CN"/>
              </w:rPr>
              <w:t>。</w:t>
            </w:r>
          </w:p>
          <w:p>
            <w:pPr>
              <w:spacing w:line="360" w:lineRule="auto"/>
              <w:jc w:val="left"/>
              <w:rPr>
                <w:rFonts w:hint="eastAsia"/>
                <w:lang w:eastAsia="zh-CN"/>
              </w:rPr>
            </w:pPr>
            <w:r>
              <w:rPr>
                <w:rFonts w:hint="eastAsia"/>
              </w:rPr>
              <w:t>20</w:t>
            </w:r>
            <w:r>
              <w:rPr>
                <w:rFonts w:hint="eastAsia"/>
                <w:lang w:val="en-US" w:eastAsia="zh-CN"/>
              </w:rPr>
              <w:t>04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日注册，有效期：20</w:t>
            </w:r>
            <w:r>
              <w:rPr>
                <w:rFonts w:hint="eastAsia"/>
                <w:lang w:val="en-US" w:eastAsia="zh-CN"/>
              </w:rPr>
              <w:t>24</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w:t>
            </w:r>
          </w:p>
          <w:p>
            <w:pPr>
              <w:snapToGrid w:val="0"/>
              <w:spacing w:line="360" w:lineRule="auto"/>
              <w:rPr>
                <w:rFonts w:hint="eastAsia"/>
              </w:rPr>
            </w:pPr>
            <w:r>
              <w:rPr>
                <w:rFonts w:hint="eastAsia"/>
              </w:rPr>
              <w:t>认证范围为：变速箱零部件(铸造件、机加工件)的生产及其场所所涉及的环境管理活动。</w:t>
            </w:r>
          </w:p>
          <w:p>
            <w:pPr>
              <w:snapToGrid w:val="0"/>
              <w:spacing w:line="360" w:lineRule="auto"/>
              <w:rPr>
                <w:rFonts w:hint="eastAsia"/>
              </w:rPr>
            </w:pPr>
            <w:r>
              <w:rPr>
                <w:rFonts w:hint="eastAsia"/>
              </w:rPr>
              <w:t>查国家企业信用信息公示系统，企业无异常经营记录、无违法失信记录。</w:t>
            </w:r>
          </w:p>
          <w:p>
            <w:pPr>
              <w:pStyle w:val="2"/>
              <w:rPr>
                <w:rFonts w:hint="default" w:eastAsia="宋体"/>
                <w:lang w:val="en-US" w:eastAsia="zh-CN"/>
              </w:rPr>
            </w:pPr>
            <w:r>
              <w:rPr>
                <w:rFonts w:hint="eastAsia"/>
                <w:lang w:val="en-US" w:eastAsia="zh-CN"/>
              </w:rPr>
              <w:t>体系覆盖人数：39人。</w:t>
            </w:r>
          </w:p>
        </w:tc>
        <w:tc>
          <w:tcPr>
            <w:tcW w:w="646"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2"/>
            </w:pPr>
          </w:p>
          <w:p>
            <w:pPr>
              <w:pStyle w:val="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pStyle w:val="2"/>
            </w:pPr>
          </w:p>
          <w:p>
            <w:pPr>
              <w:pStyle w:val="2"/>
              <w:rPr>
                <w:rFonts w:ascii="宋体" w:hAnsi="宋体" w:cs="宋体"/>
                <w:szCs w:val="21"/>
              </w:rPr>
            </w:pPr>
          </w:p>
        </w:tc>
        <w:tc>
          <w:tcPr>
            <w:tcW w:w="11206" w:type="dxa"/>
            <w:vAlign w:val="center"/>
          </w:tcPr>
          <w:p>
            <w:pPr>
              <w:spacing w:line="360" w:lineRule="auto"/>
            </w:pPr>
            <w:r>
              <w:rPr>
                <w:rFonts w:hint="eastAsia"/>
              </w:rPr>
              <w:t>面谈人员：最管理者，总经理：</w:t>
            </w:r>
            <w:r>
              <w:rPr>
                <w:rFonts w:hint="eastAsia"/>
                <w:lang w:eastAsia="zh-CN"/>
              </w:rPr>
              <w:t>鲁</w:t>
            </w:r>
            <w:r>
              <w:rPr>
                <w:rFonts w:hint="eastAsia"/>
                <w:lang w:val="en-US" w:eastAsia="zh-CN"/>
              </w:rPr>
              <w:t>刚</w:t>
            </w:r>
            <w:r>
              <w:rPr>
                <w:rFonts w:hint="eastAsia"/>
              </w:rPr>
              <w:t xml:space="preserve"> ；管代：</w:t>
            </w:r>
            <w:r>
              <w:rPr>
                <w:rFonts w:hint="eastAsia"/>
                <w:lang w:eastAsia="zh-CN"/>
              </w:rPr>
              <w:t xml:space="preserve">黎张礼 </w:t>
            </w:r>
            <w:r>
              <w:rPr>
                <w:rFonts w:hint="eastAsia"/>
              </w:rPr>
              <w:t>，总经理介绍了公司的基本情况：</w:t>
            </w:r>
          </w:p>
          <w:p>
            <w:pPr>
              <w:spacing w:line="360" w:lineRule="auto"/>
              <w:jc w:val="left"/>
            </w:pPr>
            <w:r>
              <w:rPr>
                <w:rFonts w:hint="eastAsia"/>
              </w:rPr>
              <w:t>认证主管部门：</w:t>
            </w:r>
            <w:r>
              <w:rPr>
                <w:rFonts w:hint="eastAsia" w:ascii="宋体" w:hAnsi="宋体"/>
                <w:szCs w:val="21"/>
              </w:rPr>
              <w:t>办公室</w:t>
            </w:r>
          </w:p>
          <w:p>
            <w:pPr>
              <w:spacing w:line="360" w:lineRule="auto"/>
              <w:jc w:val="left"/>
              <w:rPr>
                <w:rFonts w:hint="default" w:ascii="宋体" w:hAnsi="宋体" w:eastAsia="宋体"/>
                <w:szCs w:val="21"/>
                <w:lang w:val="en-US" w:eastAsia="zh-CN"/>
              </w:rPr>
            </w:pPr>
            <w:r>
              <w:rPr>
                <w:rFonts w:hint="eastAsia"/>
              </w:rPr>
              <w:t>公司2019年3月</w:t>
            </w:r>
            <w:r>
              <w:rPr>
                <w:rFonts w:hint="eastAsia"/>
                <w:lang w:val="en-US" w:eastAsia="zh-CN"/>
              </w:rPr>
              <w:t>10</w:t>
            </w:r>
            <w:r>
              <w:rPr>
                <w:rFonts w:hint="eastAsia"/>
              </w:rPr>
              <w:t>日开始实施环境管理体系，体系</w:t>
            </w:r>
            <w:r>
              <w:rPr>
                <w:rFonts w:hint="eastAsia"/>
                <w:lang w:val="en-US" w:eastAsia="zh-CN"/>
              </w:rPr>
              <w:t>经过二年多</w:t>
            </w:r>
            <w:r>
              <w:rPr>
                <w:rFonts w:hint="eastAsia"/>
              </w:rPr>
              <w:t>运行，</w:t>
            </w:r>
            <w:r>
              <w:rPr>
                <w:rFonts w:hint="eastAsia"/>
                <w:lang w:val="en-US" w:eastAsia="zh-CN"/>
              </w:rPr>
              <w:t>未发生更改</w:t>
            </w:r>
            <w:r>
              <w:rPr>
                <w:rFonts w:hint="eastAsia" w:ascii="宋体" w:hAnsi="宋体"/>
                <w:szCs w:val="21"/>
                <w:lang w:eastAsia="zh-CN"/>
              </w:rPr>
              <w:t>。</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公司</w:t>
            </w:r>
            <w:r>
              <w:rPr>
                <w:rFonts w:hint="eastAsia" w:ascii="宋体" w:hAnsi="宋体"/>
                <w:szCs w:val="21"/>
              </w:rPr>
              <w:t>位于</w:t>
            </w:r>
            <w:r>
              <w:rPr>
                <w:rFonts w:hint="eastAsia" w:ascii="宋体" w:hAnsi="宋体"/>
                <w:szCs w:val="21"/>
                <w:lang w:val="en-US" w:eastAsia="zh-CN"/>
              </w:rPr>
              <w:t>陕</w:t>
            </w:r>
            <w:r>
              <w:rPr>
                <w:rFonts w:hint="eastAsia" w:ascii="宋体" w:hAnsi="宋体"/>
                <w:szCs w:val="21"/>
              </w:rPr>
              <w:t>西省宝鸡市高新开发区天王镇</w:t>
            </w:r>
            <w:r>
              <w:rPr>
                <w:rFonts w:hint="eastAsia" w:ascii="宋体" w:hAnsi="宋体"/>
                <w:szCs w:val="21"/>
                <w:lang w:val="en-US" w:eastAsia="zh-CN"/>
              </w:rPr>
              <w:t>西端，总建筑面积3000m</w:t>
            </w:r>
            <w:r>
              <w:rPr>
                <w:rFonts w:hint="eastAsia" w:ascii="宋体" w:hAnsi="宋体"/>
                <w:szCs w:val="21"/>
                <w:vertAlign w:val="superscript"/>
                <w:lang w:val="en-US" w:eastAsia="zh-CN"/>
              </w:rPr>
              <w:t>2</w:t>
            </w:r>
            <w:r>
              <w:rPr>
                <w:rFonts w:hint="eastAsia" w:ascii="宋体" w:hAnsi="宋体"/>
                <w:szCs w:val="21"/>
                <w:lang w:val="en-US" w:eastAsia="zh-CN"/>
              </w:rPr>
              <w:t>，包括两座机加生产车间及一座铸造车间；办公楼200m</w:t>
            </w:r>
            <w:r>
              <w:rPr>
                <w:rFonts w:hint="eastAsia" w:ascii="宋体" w:hAnsi="宋体"/>
                <w:szCs w:val="21"/>
                <w:vertAlign w:val="superscript"/>
                <w:lang w:val="en-US" w:eastAsia="zh-CN"/>
              </w:rPr>
              <w:t>2</w:t>
            </w:r>
            <w:r>
              <w:rPr>
                <w:rFonts w:hint="eastAsia" w:ascii="宋体" w:hAnsi="宋体"/>
                <w:szCs w:val="21"/>
                <w:lang w:eastAsia="zh-CN"/>
              </w:rPr>
              <w:t>、</w:t>
            </w:r>
            <w:r>
              <w:rPr>
                <w:rFonts w:hint="eastAsia" w:ascii="宋体" w:hAnsi="宋体"/>
                <w:szCs w:val="21"/>
              </w:rPr>
              <w:t>库房</w:t>
            </w:r>
            <w:r>
              <w:rPr>
                <w:rFonts w:hint="eastAsia" w:ascii="宋体" w:hAnsi="宋体"/>
                <w:szCs w:val="21"/>
                <w:lang w:val="en-US" w:eastAsia="zh-CN"/>
              </w:rPr>
              <w:t>等设施。</w:t>
            </w:r>
          </w:p>
          <w:p>
            <w:pPr>
              <w:spacing w:line="360" w:lineRule="auto"/>
              <w:ind w:firstLine="420" w:firstLineChars="200"/>
              <w:jc w:val="left"/>
            </w:pP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jc w:val="left"/>
              <w:rPr>
                <w:rFonts w:ascii="宋体" w:hAnsi="宋体"/>
                <w:szCs w:val="21"/>
              </w:rPr>
            </w:pPr>
            <w:r>
              <w:rPr>
                <w:rFonts w:hint="eastAsia" w:ascii="宋体" w:hAnsi="宋体"/>
                <w:szCs w:val="21"/>
              </w:rPr>
              <w:t>提供</w:t>
            </w:r>
            <w:r>
              <w:rPr>
                <w:rFonts w:hint="eastAsia" w:ascii="宋体" w:hAnsi="宋体"/>
                <w:szCs w:val="21"/>
                <w:lang w:val="en-US" w:eastAsia="zh-CN"/>
              </w:rPr>
              <w:t xml:space="preserve"> ：</w:t>
            </w:r>
            <w:r>
              <w:rPr>
                <w:rFonts w:hint="eastAsia" w:ascii="宋体" w:hAnsi="宋体"/>
                <w:szCs w:val="21"/>
              </w:rPr>
              <w:t>《内外部环境因素识别和评审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adjustRightInd w:val="0"/>
              <w:spacing w:line="360" w:lineRule="auto"/>
              <w:textAlignment w:val="baseline"/>
              <w:rPr>
                <w:rFonts w:ascii="宋体" w:hAnsi="宋体"/>
                <w:szCs w:val="21"/>
              </w:rPr>
            </w:pPr>
            <w:r>
              <w:rPr>
                <w:rFonts w:hint="eastAsia" w:ascii="宋体" w:hAnsi="宋体"/>
                <w:szCs w:val="21"/>
              </w:rPr>
              <w:t>公司管理体系设置了办公室、采购部、</w:t>
            </w:r>
            <w:r>
              <w:rPr>
                <w:rFonts w:hint="eastAsia" w:ascii="宋体" w:hAnsi="宋体"/>
                <w:szCs w:val="21"/>
                <w:lang w:val="en-US" w:eastAsia="zh-CN"/>
              </w:rPr>
              <w:t>品质</w:t>
            </w:r>
            <w:r>
              <w:rPr>
                <w:rFonts w:hint="eastAsia" w:ascii="宋体" w:hAnsi="宋体"/>
                <w:szCs w:val="21"/>
              </w:rPr>
              <w:t>部、生产部、技术部。</w:t>
            </w:r>
          </w:p>
        </w:tc>
        <w:tc>
          <w:tcPr>
            <w:tcW w:w="646"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2"/>
              <w:rPr>
                <w:rFonts w:ascii="宋体" w:hAnsi="宋体" w:cs="宋体"/>
                <w:szCs w:val="21"/>
              </w:rPr>
            </w:pPr>
          </w:p>
        </w:tc>
        <w:tc>
          <w:tcPr>
            <w:tcW w:w="11206"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在公司运营过程中充分考虑相关方方面的期望或要求，识别的相关方有：顾客、最终用户或受益人、业主，股东、员工等。</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门和相关职能部门通过日常例会、市场活动、现场拜访、产品展销会、客户调查等多种渠道和方式方法随时了解相关方的需求和期望。做为公司经营风险分析和发展机遇的可利用资源。</w:t>
            </w:r>
          </w:p>
          <w:p>
            <w:pPr>
              <w:spacing w:line="360" w:lineRule="auto"/>
              <w:jc w:val="left"/>
              <w:rPr>
                <w:rFonts w:ascii="宋体" w:hAnsi="宋体"/>
                <w:szCs w:val="21"/>
              </w:rPr>
            </w:pPr>
            <w:r>
              <w:rPr>
                <w:rFonts w:hint="eastAsia" w:ascii="宋体" w:hAnsi="宋体"/>
                <w:szCs w:val="21"/>
                <w:lang w:val="en-US" w:eastAsia="zh-CN"/>
              </w:rPr>
              <w:t>提供</w:t>
            </w:r>
            <w:r>
              <w:rPr>
                <w:rFonts w:hint="eastAsia" w:ascii="宋体" w:hAnsi="宋体"/>
                <w:szCs w:val="21"/>
                <w:lang w:eastAsia="zh-CN"/>
              </w:rPr>
              <w:t>《</w:t>
            </w:r>
            <w:r>
              <w:rPr>
                <w:rFonts w:hint="eastAsia" w:ascii="宋体" w:hAnsi="宋体"/>
                <w:szCs w:val="21"/>
              </w:rPr>
              <w:t>相关方需求和期望识别表</w:t>
            </w:r>
            <w:r>
              <w:rPr>
                <w:rFonts w:hint="eastAsia" w:ascii="宋体" w:hAnsi="宋体"/>
                <w:szCs w:val="21"/>
                <w:lang w:eastAsia="zh-CN"/>
              </w:rPr>
              <w:t>》，</w:t>
            </w:r>
            <w:r>
              <w:rPr>
                <w:rFonts w:hint="eastAsia" w:ascii="宋体" w:hAnsi="宋体"/>
                <w:szCs w:val="21"/>
                <w:lang w:val="en-US" w:eastAsia="zh-CN"/>
              </w:rPr>
              <w:t>从</w:t>
            </w:r>
            <w:r>
              <w:rPr>
                <w:rFonts w:hint="eastAsia"/>
              </w:rPr>
              <w:t>相关方类型</w:t>
            </w:r>
            <w:r>
              <w:rPr>
                <w:rFonts w:hint="eastAsia"/>
                <w:lang w:eastAsia="zh-CN"/>
              </w:rPr>
              <w:t>、</w:t>
            </w:r>
            <w:r>
              <w:rPr>
                <w:rFonts w:hint="eastAsia"/>
              </w:rPr>
              <w:t>需求和期望</w:t>
            </w:r>
            <w:r>
              <w:rPr>
                <w:rFonts w:hint="eastAsia"/>
                <w:lang w:eastAsia="zh-CN"/>
              </w:rPr>
              <w:t>、</w:t>
            </w:r>
            <w:r>
              <w:rPr>
                <w:rFonts w:hint="eastAsia"/>
              </w:rPr>
              <w:t>监测和评审方式</w:t>
            </w:r>
            <w:r>
              <w:rPr>
                <w:rFonts w:hint="eastAsia"/>
                <w:lang w:eastAsia="zh-CN"/>
              </w:rPr>
              <w:t>、</w:t>
            </w:r>
            <w:r>
              <w:rPr>
                <w:rFonts w:hint="eastAsia"/>
              </w:rPr>
              <w:t>监测的频次</w:t>
            </w:r>
            <w:r>
              <w:rPr>
                <w:rFonts w:hint="eastAsia"/>
                <w:lang w:eastAsia="zh-CN"/>
              </w:rPr>
              <w:t>、</w:t>
            </w:r>
            <w:r>
              <w:rPr>
                <w:rFonts w:hint="eastAsia"/>
              </w:rPr>
              <w:t>监测部门</w:t>
            </w:r>
            <w:r>
              <w:rPr>
                <w:rFonts w:hint="eastAsia"/>
                <w:lang w:eastAsia="zh-CN"/>
              </w:rPr>
              <w:t>、</w:t>
            </w:r>
            <w:r>
              <w:rPr>
                <w:rFonts w:hint="eastAsia"/>
              </w:rPr>
              <w:t>需求和期望的符合性</w:t>
            </w:r>
            <w:r>
              <w:rPr>
                <w:rFonts w:hint="eastAsia"/>
                <w:lang w:val="en-US" w:eastAsia="zh-CN"/>
              </w:rPr>
              <w:t>等方面进行</w:t>
            </w:r>
            <w:r>
              <w:rPr>
                <w:rFonts w:hint="eastAsia" w:ascii="宋体" w:hAnsi="宋体"/>
                <w:szCs w:val="21"/>
              </w:rPr>
              <w:t>了解相关方的需求</w:t>
            </w:r>
            <w:r>
              <w:rPr>
                <w:rFonts w:hint="eastAsia" w:ascii="宋体" w:hAnsi="宋体"/>
                <w:szCs w:val="21"/>
                <w:lang w:eastAsia="zh-CN"/>
              </w:rPr>
              <w:t>，</w:t>
            </w:r>
            <w:r>
              <w:rPr>
                <w:rFonts w:hint="eastAsia" w:ascii="宋体" w:hAnsi="宋体"/>
                <w:szCs w:val="21"/>
              </w:rPr>
              <w:t>相关方有</w:t>
            </w:r>
            <w:r>
              <w:rPr>
                <w:rFonts w:hint="eastAsia" w:ascii="宋体" w:hAnsi="宋体"/>
                <w:szCs w:val="21"/>
                <w:lang w:val="en-US" w:eastAsia="zh-CN"/>
              </w:rPr>
              <w:t>客户、</w:t>
            </w:r>
            <w:r>
              <w:rPr>
                <w:rFonts w:hint="eastAsia" w:ascii="宋体" w:hAnsi="宋体"/>
                <w:szCs w:val="21"/>
              </w:rPr>
              <w:t>员工、</w:t>
            </w:r>
            <w:r>
              <w:rPr>
                <w:rFonts w:hint="eastAsia" w:ascii="宋体" w:hAnsi="宋体"/>
                <w:szCs w:val="21"/>
                <w:lang w:val="en-US" w:eastAsia="zh-CN"/>
              </w:rPr>
              <w:t>外部供方、政府部门、</w:t>
            </w:r>
            <w:r>
              <w:rPr>
                <w:rFonts w:hint="eastAsia" w:ascii="宋体" w:hAnsi="宋体"/>
                <w:szCs w:val="21"/>
              </w:rPr>
              <w:t>政府部门等。</w:t>
            </w:r>
          </w:p>
          <w:p>
            <w:pPr>
              <w:spacing w:line="360" w:lineRule="auto"/>
              <w:jc w:val="left"/>
              <w:rPr>
                <w:rFonts w:ascii="宋体" w:hAnsi="宋体" w:cs="宋体"/>
                <w:szCs w:val="21"/>
              </w:rPr>
            </w:pPr>
            <w:r>
              <w:rPr>
                <w:rFonts w:hint="eastAsia" w:asciiTheme="minorEastAsia" w:hAnsiTheme="minorEastAsia" w:eastAsiaTheme="minorEastAsia" w:cstheme="minorEastAsia"/>
                <w:szCs w:val="21"/>
              </w:rPr>
              <w:t>内外部环境要素识别与评估：在每年的管理评审前，由相关部门负责人进行识别并评估其适宜性。以便于持续满足相关方的需求和期望。</w:t>
            </w:r>
          </w:p>
        </w:tc>
        <w:tc>
          <w:tcPr>
            <w:tcW w:w="646"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cs="宋体"/>
                <w:szCs w:val="21"/>
              </w:rPr>
              <w:t>E</w:t>
            </w:r>
            <w:r>
              <w:rPr>
                <w:rFonts w:hint="eastAsia" w:ascii="宋体" w:hAnsi="宋体"/>
                <w:szCs w:val="21"/>
              </w:rPr>
              <w:t>5.1</w:t>
            </w:r>
          </w:p>
        </w:tc>
        <w:tc>
          <w:tcPr>
            <w:tcW w:w="11206" w:type="dxa"/>
            <w:vAlign w:val="center"/>
          </w:tcPr>
          <w:p>
            <w:pPr>
              <w:spacing w:line="360" w:lineRule="auto"/>
              <w:jc w:val="left"/>
            </w:pPr>
            <w:r>
              <w:rPr>
                <w:rFonts w:hint="eastAsia"/>
              </w:rPr>
              <w:t>总经理：</w:t>
            </w:r>
            <w:r>
              <w:rPr>
                <w:rFonts w:hint="eastAsia"/>
                <w:lang w:eastAsia="zh-CN"/>
              </w:rPr>
              <w:t>鲁刚</w:t>
            </w:r>
            <w:r>
              <w:rPr>
                <w:rFonts w:hint="eastAsia"/>
              </w:rPr>
              <w:t xml:space="preserve"> 管理者代表：</w:t>
            </w:r>
            <w:r>
              <w:rPr>
                <w:rFonts w:hint="eastAsia"/>
                <w:lang w:eastAsia="zh-CN"/>
              </w:rPr>
              <w:t xml:space="preserve">黎张礼 </w:t>
            </w:r>
            <w:r>
              <w:rPr>
                <w:rFonts w:hint="eastAsia"/>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jc w:val="left"/>
              <w:rPr>
                <w:rFonts w:hint="eastAsia" w:eastAsia="宋体"/>
                <w:lang w:eastAsia="zh-CN"/>
              </w:rPr>
            </w:pPr>
            <w:r>
              <w:rPr>
                <w:rFonts w:hint="eastAsia" w:asciiTheme="minorEastAsia" w:hAnsiTheme="minorEastAsia" w:eastAsiaTheme="minorEastAsia" w:cstheme="minor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646"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cs="宋体"/>
                <w:szCs w:val="21"/>
              </w:rPr>
              <w:t>E</w:t>
            </w: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hint="eastAsia" w:ascii="宋体" w:hAnsi="宋体"/>
                <w:szCs w:val="21"/>
              </w:rPr>
            </w:pPr>
            <w:r>
              <w:rPr>
                <w:rFonts w:hint="eastAsia" w:ascii="宋体" w:hAnsi="宋体"/>
                <w:szCs w:val="21"/>
              </w:rPr>
              <w:t>节约资源  保护环境  遵纪守法  持续改进</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宋体"/>
                <w:szCs w:val="21"/>
              </w:rPr>
              <w:t>E</w:t>
            </w:r>
            <w:r>
              <w:rPr>
                <w:rFonts w:hint="eastAsia" w:ascii="宋体" w:hAnsi="宋体" w:cs="新宋体"/>
                <w:sz w:val="18"/>
                <w:szCs w:val="18"/>
              </w:rPr>
              <w:t>5.3</w:t>
            </w:r>
          </w:p>
        </w:tc>
        <w:tc>
          <w:tcPr>
            <w:tcW w:w="11206" w:type="dxa"/>
            <w:vAlign w:val="center"/>
          </w:tcPr>
          <w:p>
            <w:pPr>
              <w:spacing w:line="440" w:lineRule="exact"/>
              <w:ind w:firstLine="420" w:firstLineChars="200"/>
              <w:rPr>
                <w:rFonts w:hint="eastAsia" w:ascii="宋体" w:hAnsi="宋体" w:cs="Times New Roman"/>
                <w:szCs w:val="21"/>
              </w:rPr>
            </w:pPr>
            <w:r>
              <w:rPr>
                <w:rFonts w:hint="eastAsia" w:ascii="宋体" w:hAnsi="宋体" w:cs="Times New Roman"/>
                <w:szCs w:val="21"/>
              </w:rPr>
              <w:t>公司确定了公司机构并规定了各岗位人员职责、权限和相互关系</w:t>
            </w:r>
            <w:r>
              <w:rPr>
                <w:rFonts w:hint="eastAsia" w:ascii="宋体" w:hAnsi="宋体" w:cs="Times New Roman"/>
                <w:szCs w:val="21"/>
                <w:lang w:eastAsia="zh-CN"/>
              </w:rPr>
              <w:t>，《</w:t>
            </w:r>
            <w:r>
              <w:rPr>
                <w:rFonts w:hint="eastAsia" w:ascii="宋体" w:hAnsi="宋体" w:cs="Times New Roman"/>
                <w:szCs w:val="21"/>
                <w:lang w:val="en-US" w:eastAsia="zh-CN"/>
              </w:rPr>
              <w:t>公司环境管理手册</w:t>
            </w:r>
            <w:r>
              <w:rPr>
                <w:rFonts w:hint="eastAsia" w:ascii="宋体" w:hAnsi="宋体" w:cs="Times New Roman"/>
                <w:szCs w:val="21"/>
                <w:lang w:eastAsia="zh-CN"/>
              </w:rPr>
              <w:t>》</w:t>
            </w:r>
            <w:r>
              <w:rPr>
                <w:rFonts w:hint="eastAsia" w:ascii="宋体" w:hAnsi="宋体" w:cs="Times New Roman"/>
                <w:szCs w:val="21"/>
                <w:lang w:val="en-US" w:eastAsia="zh-CN"/>
              </w:rPr>
              <w:t>编制了</w:t>
            </w:r>
            <w:r>
              <w:rPr>
                <w:rFonts w:hint="eastAsia" w:ascii="宋体" w:hAnsi="宋体" w:cs="Times New Roman"/>
                <w:szCs w:val="21"/>
              </w:rPr>
              <w:t>组织机构图</w:t>
            </w:r>
            <w:r>
              <w:rPr>
                <w:rFonts w:hint="eastAsia" w:ascii="宋体" w:hAnsi="宋体" w:cs="Times New Roman"/>
                <w:szCs w:val="21"/>
                <w:lang w:val="en-US" w:eastAsia="zh-CN"/>
              </w:rPr>
              <w:t>及</w:t>
            </w:r>
            <w:r>
              <w:rPr>
                <w:rFonts w:hint="eastAsia" w:ascii="宋体" w:hAnsi="宋体" w:cs="Times New Roman"/>
                <w:szCs w:val="21"/>
              </w:rPr>
              <w:t>部门职责，相关职责在《各类人员上岗资质要求》和《各级各类人员职责、权限》中予以明确。</w:t>
            </w:r>
            <w:r>
              <w:rPr>
                <w:rFonts w:hint="eastAsia" w:ascii="宋体" w:hAnsi="宋体" w:cs="Times New Roman"/>
                <w:szCs w:val="21"/>
                <w:lang w:eastAsia="zh-CN"/>
              </w:rPr>
              <w:t>总经理</w:t>
            </w:r>
            <w:r>
              <w:rPr>
                <w:rFonts w:hint="eastAsia" w:ascii="宋体" w:hAnsi="宋体" w:cs="Times New Roman"/>
                <w:szCs w:val="21"/>
              </w:rPr>
              <w:t>应任命一名管理者代表</w:t>
            </w:r>
            <w:r>
              <w:rPr>
                <w:rFonts w:hint="eastAsia" w:ascii="宋体" w:hAnsi="宋体" w:cs="Times New Roman"/>
                <w:szCs w:val="21"/>
                <w:lang w:eastAsia="zh-CN"/>
              </w:rPr>
              <w:t xml:space="preserve">黎张礼 </w:t>
            </w:r>
            <w:r>
              <w:rPr>
                <w:rFonts w:hint="eastAsia" w:ascii="宋体" w:hAnsi="宋体" w:cs="Times New Roman"/>
                <w:szCs w:val="21"/>
              </w:rPr>
              <w:t>，确保与员工和其他相关方就相关信息进行相互沟通，</w:t>
            </w:r>
            <w:r>
              <w:rPr>
                <w:rFonts w:hint="eastAsia" w:ascii="宋体" w:hAnsi="宋体" w:cs="Times New Roman"/>
                <w:szCs w:val="21"/>
                <w:lang w:val="en-US" w:eastAsia="zh-CN"/>
              </w:rPr>
              <w:t>管理者</w:t>
            </w:r>
            <w:r>
              <w:rPr>
                <w:rFonts w:hint="eastAsia" w:ascii="宋体" w:hAnsi="宋体" w:cs="Times New Roman"/>
                <w:szCs w:val="21"/>
              </w:rPr>
              <w:t>代表的具体履行如下职责：</w:t>
            </w:r>
          </w:p>
          <w:p>
            <w:pPr>
              <w:spacing w:line="440" w:lineRule="exact"/>
              <w:rPr>
                <w:rFonts w:ascii="宋体" w:hAnsi="宋体" w:cs="宋体"/>
                <w:szCs w:val="21"/>
              </w:rPr>
            </w:pPr>
            <w:r>
              <w:rPr>
                <w:rFonts w:hint="eastAsia" w:ascii="宋体" w:hAnsi="宋体" w:cs="Times New Roman"/>
                <w:szCs w:val="21"/>
              </w:rPr>
              <w:t>a) 确保管理体系符合标准要求；b) 向</w:t>
            </w:r>
            <w:r>
              <w:rPr>
                <w:rFonts w:hint="eastAsia" w:ascii="宋体" w:hAnsi="宋体" w:cs="Times New Roman"/>
                <w:szCs w:val="21"/>
                <w:lang w:eastAsia="zh-CN"/>
              </w:rPr>
              <w:t>总经理</w:t>
            </w:r>
            <w:r>
              <w:rPr>
                <w:rFonts w:hint="eastAsia" w:ascii="宋体" w:hAnsi="宋体" w:cs="Times New Roman"/>
                <w:szCs w:val="21"/>
              </w:rPr>
              <w:t>报告环境管理体系的绩效，包括环境绩效； 向最高管理者报告管理体</w:t>
            </w:r>
            <w:r>
              <w:rPr>
                <w:rFonts w:hint="eastAsia" w:ascii="宋体" w:hAnsi="宋体" w:cs="宋体"/>
                <w:szCs w:val="21"/>
              </w:rPr>
              <w:t>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pPr>
            <w:r>
              <w:rPr>
                <w:rFonts w:hint="eastAsia" w:ascii="宋体" w:hAnsi="宋体" w:cs="宋体"/>
                <w:sz w:val="21"/>
                <w:szCs w:val="21"/>
              </w:rPr>
              <w:t>询问管代</w:t>
            </w:r>
            <w:r>
              <w:rPr>
                <w:rFonts w:hint="eastAsia" w:ascii="宋体" w:hAnsi="宋体" w:cs="宋体"/>
                <w:sz w:val="21"/>
                <w:szCs w:val="21"/>
                <w:lang w:eastAsia="zh-CN"/>
              </w:rPr>
              <w:t xml:space="preserve">黎张礼 </w:t>
            </w:r>
            <w:r>
              <w:rPr>
                <w:rFonts w:hint="eastAsia" w:ascii="宋体" w:hAnsi="宋体" w:cs="宋体"/>
                <w:sz w:val="21"/>
                <w:szCs w:val="21"/>
              </w:rPr>
              <w:t>，职责回答正确。</w:t>
            </w:r>
          </w:p>
        </w:tc>
        <w:tc>
          <w:tcPr>
            <w:tcW w:w="646"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spacing w:line="360" w:lineRule="auto"/>
              <w:jc w:val="left"/>
              <w:rPr>
                <w:rFonts w:asciiTheme="minorEastAsia" w:hAnsiTheme="minorEastAsia"/>
                <w:szCs w:val="24"/>
              </w:rPr>
            </w:pPr>
            <w:r>
              <w:rPr>
                <w:rFonts w:hint="eastAsia" w:ascii="宋体" w:hAnsi="宋体" w:cs="宋体"/>
                <w:szCs w:val="21"/>
              </w:rPr>
              <w:t>E</w:t>
            </w:r>
            <w:r>
              <w:rPr>
                <w:rFonts w:hint="eastAsia" w:asciiTheme="minorEastAsia" w:hAnsiTheme="minorEastAsia" w:eastAsiaTheme="minorEastAsia"/>
                <w:szCs w:val="24"/>
              </w:rPr>
              <w:t>6.1</w:t>
            </w:r>
          </w:p>
        </w:tc>
        <w:tc>
          <w:tcPr>
            <w:tcW w:w="11206" w:type="dxa"/>
            <w:vAlign w:val="center"/>
          </w:tcPr>
          <w:p>
            <w:pPr>
              <w:spacing w:line="440" w:lineRule="exact"/>
              <w:rPr>
                <w:rFonts w:hint="default" w:ascii="宋体" w:hAnsi="宋体" w:cs="宋体"/>
                <w:szCs w:val="21"/>
                <w:lang w:val="en-US" w:eastAsia="zh-CN"/>
              </w:rPr>
            </w:pPr>
            <w:r>
              <w:rPr>
                <w:rFonts w:hint="eastAsia" w:ascii="宋体" w:hAnsi="宋体" w:cs="宋体"/>
                <w:szCs w:val="21"/>
              </w:rPr>
              <w:t>提供《风险和机遇的应对控制程序》，对组织内外的风险和机遇进行了策划。提供</w:t>
            </w:r>
            <w:r>
              <w:rPr>
                <w:rFonts w:hint="eastAsia" w:ascii="宋体" w:hAnsi="宋体" w:cs="宋体"/>
                <w:szCs w:val="21"/>
                <w:lang w:eastAsia="zh-CN"/>
              </w:rPr>
              <w:t>《</w:t>
            </w:r>
            <w:r>
              <w:rPr>
                <w:rFonts w:hint="eastAsia" w:ascii="宋体" w:hAnsi="宋体" w:cs="宋体"/>
                <w:szCs w:val="21"/>
              </w:rPr>
              <w:t>风险和机遇排查评估与控制表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通过从</w:t>
            </w:r>
            <w:r>
              <w:rPr>
                <w:rFonts w:hint="eastAsia" w:ascii="宋体" w:hAnsi="宋体" w:cs="宋体"/>
                <w:szCs w:val="21"/>
              </w:rPr>
              <w:t>风险因素</w:t>
            </w:r>
            <w:r>
              <w:rPr>
                <w:rFonts w:hint="eastAsia" w:ascii="宋体" w:hAnsi="宋体" w:cs="宋体"/>
                <w:szCs w:val="21"/>
                <w:lang w:eastAsia="zh-CN"/>
              </w:rPr>
              <w:t>、</w:t>
            </w:r>
            <w:r>
              <w:rPr>
                <w:rFonts w:hint="eastAsia" w:ascii="宋体" w:hAnsi="宋体" w:cs="宋体"/>
                <w:szCs w:val="21"/>
              </w:rPr>
              <w:t>风险分析</w:t>
            </w:r>
            <w:r>
              <w:rPr>
                <w:rFonts w:hint="eastAsia" w:ascii="宋体" w:hAnsi="宋体" w:cs="宋体"/>
                <w:szCs w:val="21"/>
                <w:lang w:eastAsia="zh-CN"/>
              </w:rPr>
              <w:t>、</w:t>
            </w:r>
            <w:r>
              <w:rPr>
                <w:rFonts w:hint="eastAsia" w:ascii="宋体" w:hAnsi="宋体" w:cs="宋体"/>
                <w:szCs w:val="21"/>
              </w:rPr>
              <w:t>预期风险评估</w:t>
            </w:r>
            <w:r>
              <w:rPr>
                <w:rFonts w:hint="eastAsia" w:ascii="宋体" w:hAnsi="宋体" w:cs="宋体"/>
                <w:szCs w:val="21"/>
                <w:lang w:eastAsia="zh-CN"/>
              </w:rPr>
              <w:t>、</w:t>
            </w:r>
            <w:r>
              <w:rPr>
                <w:rFonts w:hint="eastAsia" w:ascii="宋体" w:hAnsi="宋体" w:cs="宋体"/>
                <w:szCs w:val="21"/>
              </w:rPr>
              <w:t>风险管控措施和预防措施</w:t>
            </w:r>
            <w:r>
              <w:rPr>
                <w:rFonts w:hint="eastAsia" w:ascii="宋体" w:hAnsi="宋体" w:cs="宋体"/>
                <w:szCs w:val="21"/>
                <w:lang w:eastAsia="zh-CN"/>
              </w:rPr>
              <w:t>、</w:t>
            </w:r>
            <w:r>
              <w:rPr>
                <w:rFonts w:hint="eastAsia" w:ascii="宋体" w:hAnsi="宋体" w:cs="宋体"/>
                <w:szCs w:val="21"/>
              </w:rPr>
              <w:t>风险实际发生后评估及控制程度</w:t>
            </w:r>
            <w:r>
              <w:rPr>
                <w:rFonts w:hint="eastAsia" w:ascii="宋体" w:hAnsi="宋体" w:cs="宋体"/>
                <w:szCs w:val="21"/>
                <w:lang w:eastAsia="zh-CN"/>
              </w:rPr>
              <w:t>、</w:t>
            </w:r>
            <w:r>
              <w:rPr>
                <w:rFonts w:hint="eastAsia" w:ascii="宋体" w:hAnsi="宋体" w:cs="宋体"/>
                <w:szCs w:val="21"/>
              </w:rPr>
              <w:t>存在的机遇</w:t>
            </w:r>
            <w:r>
              <w:rPr>
                <w:rFonts w:hint="eastAsia" w:ascii="宋体" w:hAnsi="宋体" w:cs="宋体"/>
                <w:szCs w:val="21"/>
                <w:lang w:eastAsia="zh-CN"/>
              </w:rPr>
              <w:t>、</w:t>
            </w:r>
            <w:r>
              <w:rPr>
                <w:rFonts w:hint="eastAsia" w:ascii="宋体" w:hAnsi="宋体" w:cs="宋体"/>
                <w:szCs w:val="21"/>
              </w:rPr>
              <w:t>存在的机遇</w:t>
            </w:r>
            <w:r>
              <w:rPr>
                <w:rFonts w:hint="eastAsia" w:ascii="宋体" w:hAnsi="宋体" w:cs="宋体"/>
                <w:szCs w:val="21"/>
                <w:lang w:val="en-US" w:eastAsia="zh-CN"/>
              </w:rPr>
              <w:t>等方面</w:t>
            </w:r>
          </w:p>
          <w:p>
            <w:pPr>
              <w:pStyle w:val="5"/>
              <w:rPr>
                <w:rFonts w:hint="eastAsia" w:ascii="宋体" w:hAnsi="宋体" w:cs="宋体"/>
                <w:sz w:val="21"/>
                <w:szCs w:val="21"/>
              </w:rPr>
            </w:pPr>
            <w:r>
              <w:rPr>
                <w:rFonts w:hint="eastAsia" w:ascii="宋体" w:hAnsi="宋体" w:cs="宋体"/>
                <w:sz w:val="21"/>
                <w:szCs w:val="21"/>
              </w:rPr>
              <w:t>风险和机遇来源、风险和机遇内容、管理措施、责任部门、实时时间、评价措施等：</w:t>
            </w:r>
          </w:p>
          <w:p>
            <w:pPr>
              <w:pStyle w:val="5"/>
              <w:rPr>
                <w:rFonts w:hint="eastAsia"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5"/>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 xml:space="preserve">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宋体" w:hAnsi="宋体" w:cs="宋体"/>
                <w:szCs w:val="21"/>
              </w:rPr>
              <w:t>E</w:t>
            </w: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pPr>
            <w:r>
              <w:rPr>
                <w:rFonts w:hint="eastAsia"/>
              </w:rPr>
              <w:t>查《</w:t>
            </w:r>
            <w:r>
              <w:rPr>
                <w:rFonts w:hint="eastAsia"/>
              </w:rPr>
              <w:t>环境管理手册》，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pPr>
            <w:r>
              <w:rPr>
                <w:rFonts w:hint="eastAsia"/>
              </w:rPr>
              <w:t>查</w:t>
            </w:r>
            <w:r>
              <w:rPr>
                <w:rFonts w:hint="eastAsia"/>
              </w:rPr>
              <w:t>《环境管理手册》，制定了公司目标，并在管理体系所需的相关职能、管理目标</w:t>
            </w:r>
            <w:r>
              <w:rPr>
                <w:rFonts w:hint="eastAsia"/>
              </w:rPr>
              <w:tab/>
            </w:r>
          </w:p>
          <w:p>
            <w:pPr>
              <w:spacing w:line="360" w:lineRule="auto"/>
            </w:pPr>
            <w:r>
              <w:rPr>
                <w:rFonts w:hint="eastAsia"/>
              </w:rPr>
              <w:t>组织对公司质量、环境、职业健康安全目标、指标予以分解，并在相关职能层次部门建立分目标，</w:t>
            </w:r>
          </w:p>
          <w:p>
            <w:pPr>
              <w:spacing w:line="360" w:lineRule="auto"/>
            </w:pPr>
            <w:r>
              <w:rPr>
                <w:rFonts w:hint="eastAsia"/>
              </w:rPr>
              <w:t>查见《20</w:t>
            </w:r>
            <w:r>
              <w:rPr>
                <w:rFonts w:hint="eastAsia"/>
                <w:lang w:val="en-US" w:eastAsia="zh-CN"/>
              </w:rPr>
              <w:t>22</w:t>
            </w:r>
            <w:r>
              <w:rPr>
                <w:rFonts w:hint="eastAsia"/>
              </w:rPr>
              <w:t>年度环境目标、指标与管理方案一览表 》有环境目标、环境指标、环境管理方案（方法、措施与要求）、费　用预算、完成时间、责任部门及责任人，编制：</w:t>
            </w:r>
            <w:r>
              <w:rPr>
                <w:rFonts w:hint="eastAsia"/>
                <w:lang w:eastAsia="zh-CN"/>
              </w:rPr>
              <w:t xml:space="preserve">黎张礼 </w:t>
            </w:r>
            <w:r>
              <w:rPr>
                <w:rFonts w:hint="eastAsia"/>
              </w:rPr>
              <w:t xml:space="preserve">  批准：</w:t>
            </w:r>
            <w:r>
              <w:rPr>
                <w:rFonts w:hint="eastAsia"/>
                <w:lang w:eastAsia="zh-CN"/>
              </w:rPr>
              <w:t>鲁刚</w:t>
            </w:r>
            <w:r>
              <w:rPr>
                <w:rFonts w:hint="eastAsia"/>
              </w:rPr>
              <w:t xml:space="preserve"> 日期：20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pacing w:line="360" w:lineRule="auto"/>
              <w:rPr>
                <w:rFonts w:hint="eastAsia"/>
              </w:rPr>
            </w:pPr>
            <w:r>
              <w:rPr>
                <w:rFonts w:hint="eastAsia"/>
              </w:rPr>
              <w:t>环境目标：1)环境影响投诉次数为零；</w:t>
            </w:r>
          </w:p>
          <w:p>
            <w:pPr>
              <w:pStyle w:val="2"/>
              <w:rPr>
                <w:rFonts w:hint="eastAsia"/>
              </w:rPr>
            </w:pPr>
            <w:r>
              <w:rPr>
                <w:rFonts w:hint="eastAsia"/>
                <w:lang w:val="en-US" w:eastAsia="zh-CN"/>
              </w:rPr>
              <w:t xml:space="preserve">        2）</w:t>
            </w:r>
            <w:r>
              <w:rPr>
                <w:rFonts w:hint="eastAsia"/>
              </w:rPr>
              <w:t>固体废弃物的分类处理率为100%。；</w:t>
            </w:r>
          </w:p>
          <w:p>
            <w:pPr>
              <w:numPr>
                <w:numId w:val="0"/>
              </w:numPr>
              <w:spacing w:line="360" w:lineRule="auto"/>
              <w:ind w:firstLine="1050" w:firstLineChars="500"/>
            </w:pPr>
            <w:r>
              <w:rPr>
                <w:rFonts w:hint="eastAsia"/>
              </w:rPr>
              <w:t>3)无重大环境污染事故；</w:t>
            </w:r>
          </w:p>
          <w:p>
            <w:pPr>
              <w:numPr>
                <w:numId w:val="0"/>
              </w:numPr>
              <w:spacing w:line="360" w:lineRule="auto"/>
              <w:ind w:firstLine="1050" w:firstLineChars="500"/>
              <w:rPr>
                <w:rFonts w:hint="eastAsia"/>
              </w:rPr>
            </w:pPr>
            <w:r>
              <w:rPr>
                <w:rFonts w:hint="eastAsia"/>
              </w:rPr>
              <w:t>4）火灾事故为零</w:t>
            </w:r>
          </w:p>
          <w:p>
            <w:pPr>
              <w:pStyle w:val="2"/>
              <w:rPr>
                <w:rFonts w:hint="default" w:eastAsiaTheme="minorEastAsia"/>
                <w:lang w:val="en-US" w:eastAsia="zh-CN"/>
              </w:rPr>
            </w:pPr>
            <w:r>
              <w:rPr>
                <w:rFonts w:hint="eastAsia" w:asciiTheme="minorEastAsia" w:hAnsiTheme="minorEastAsia" w:eastAsiaTheme="minorEastAsia"/>
                <w:szCs w:val="24"/>
                <w:lang w:val="en-US" w:eastAsia="zh-CN"/>
              </w:rPr>
              <w:t>环境目标每季度考核一次。</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pPr>
            <w:r>
              <w:rPr>
                <w:rFonts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机械加工设备等基础设施以及必要的工作环境，配备较为充分。</w:t>
            </w:r>
          </w:p>
          <w:p>
            <w:pPr>
              <w:spacing w:line="360" w:lineRule="auto"/>
              <w:ind w:firstLine="420" w:firstLineChars="200"/>
            </w:pPr>
            <w:r>
              <w:rPr>
                <w:rFonts w:hint="eastAsia"/>
              </w:rPr>
              <w:t>总经理</w:t>
            </w:r>
            <w:r>
              <w:rPr>
                <w:rFonts w:hint="eastAsia"/>
                <w:lang w:eastAsia="zh-CN"/>
              </w:rPr>
              <w:t>黎张</w:t>
            </w:r>
            <w:bookmarkStart w:id="0" w:name="_GoBack"/>
            <w:bookmarkEnd w:id="0"/>
            <w:r>
              <w:rPr>
                <w:rFonts w:hint="eastAsia"/>
                <w:lang w:eastAsia="zh-CN"/>
              </w:rPr>
              <w:t>礼</w:t>
            </w:r>
            <w:r>
              <w:rPr>
                <w:rFonts w:hint="eastAsia"/>
              </w:rPr>
              <w:t>主持的今年的管理评审，对方针、目标的适宜性进行了评审，对所需资源进行了评审，结论现有资源满足要求。</w:t>
            </w:r>
          </w:p>
          <w:p>
            <w:pPr>
              <w:spacing w:line="360" w:lineRule="auto"/>
              <w:ind w:firstLine="420" w:firstLineChars="200"/>
            </w:pPr>
            <w:r>
              <w:rPr>
                <w:rFonts w:hint="eastAsia"/>
              </w:rPr>
              <w:t>总经理</w:t>
            </w:r>
            <w:r>
              <w:rPr>
                <w:rFonts w:hint="eastAsia"/>
                <w:lang w:eastAsia="zh-CN"/>
              </w:rPr>
              <w:t>黎张礼</w:t>
            </w:r>
            <w:r>
              <w:rPr>
                <w:rFonts w:hint="eastAsia"/>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20" w:firstLineChars="200"/>
              <w:rPr>
                <w:rFonts w:hint="default" w:cs="Times New Roman"/>
                <w:kern w:val="2"/>
                <w:sz w:val="21"/>
                <w:szCs w:val="22"/>
                <w:lang w:val="en-US" w:eastAsia="zh-CN" w:bidi="ar-SA"/>
              </w:rPr>
            </w:pPr>
            <w:r>
              <w:rPr>
                <w:rFonts w:hint="eastAsia"/>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鲁</w:t>
            </w:r>
            <w:r>
              <w:rPr>
                <w:rFonts w:hint="eastAsia" w:eastAsiaTheme="minorEastAsia"/>
                <w:lang w:val="en-US" w:eastAsia="zh-CN"/>
              </w:rPr>
              <w:t>刚</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鲁</w:t>
            </w:r>
            <w:r>
              <w:rPr>
                <w:rFonts w:hint="eastAsia" w:eastAsiaTheme="minorEastAsia"/>
                <w:lang w:val="en-US" w:eastAsia="zh-CN"/>
              </w:rPr>
              <w:t>刚</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提供</w:t>
            </w:r>
            <w:r>
              <w:rPr>
                <w:rFonts w:hint="eastAsia" w:asciiTheme="minorEastAsia" w:hAnsiTheme="minorEastAsia" w:eastAsiaTheme="minorEastAsia"/>
                <w:szCs w:val="24"/>
              </w:rPr>
              <w:t>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hint="eastAsia" w:asciiTheme="minorEastAsia" w:hAnsiTheme="minorEastAsia" w:eastAsiaTheme="minorEastAsia"/>
                <w:szCs w:val="24"/>
                <w:lang w:eastAsia="zh-CN"/>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w:t>
            </w:r>
            <w:r>
              <w:rPr>
                <w:rFonts w:hint="eastAsia" w:asciiTheme="minorEastAsia" w:hAnsiTheme="minorEastAsia" w:eastAsiaTheme="minorEastAsia"/>
                <w:szCs w:val="24"/>
                <w:lang w:val="en-US" w:eastAsia="zh-CN"/>
              </w:rPr>
              <w:t>22</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月2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eastAsia="zh-CN"/>
              </w:rPr>
              <w:t xml:space="preserve">黎张礼 </w:t>
            </w:r>
            <w:r>
              <w:rPr>
                <w:rFonts w:hint="eastAsia" w:asciiTheme="minorEastAsia" w:hAnsiTheme="minorEastAsia" w:eastAsiaTheme="minorEastAsia"/>
                <w:szCs w:val="24"/>
              </w:rPr>
              <w:t>，批准：</w:t>
            </w:r>
            <w:r>
              <w:rPr>
                <w:rFonts w:hint="eastAsia" w:eastAsiaTheme="minorEastAsia"/>
                <w:lang w:eastAsia="zh-CN"/>
              </w:rPr>
              <w:t>鲁</w:t>
            </w:r>
            <w:r>
              <w:rPr>
                <w:rFonts w:hint="eastAsia" w:eastAsiaTheme="minorEastAsia"/>
                <w:lang w:val="en-US" w:eastAsia="zh-CN"/>
              </w:rPr>
              <w:t>刚</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w:t>
            </w:r>
            <w:r>
              <w:rPr>
                <w:rFonts w:hint="eastAsia" w:asciiTheme="minorEastAsia" w:hAnsiTheme="minorEastAsia" w:eastAsiaTheme="minorEastAsia"/>
                <w:szCs w:val="24"/>
                <w:lang w:val="en-US" w:eastAsia="zh-CN"/>
              </w:rPr>
              <w:t>22</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22</w:t>
            </w:r>
            <w:r>
              <w:rPr>
                <w:rFonts w:hint="eastAsia" w:asciiTheme="minorEastAsia" w:hAnsiTheme="minorEastAsia" w:eastAsiaTheme="minorEastAsia"/>
                <w:szCs w:val="24"/>
              </w:rPr>
              <w:t>日在公司会议室，由</w:t>
            </w:r>
            <w:r>
              <w:rPr>
                <w:rFonts w:hint="eastAsia" w:eastAsiaTheme="minorEastAsia"/>
                <w:lang w:eastAsia="zh-CN"/>
              </w:rPr>
              <w:t>鲁刚</w:t>
            </w:r>
            <w:r>
              <w:rPr>
                <w:rFonts w:hint="eastAsia" w:asciiTheme="minorEastAsia" w:hAnsiTheme="minorEastAsia" w:eastAsiaTheme="minorEastAsia"/>
                <w:szCs w:val="24"/>
              </w:rPr>
              <w:t xml:space="preserve">主持人， 参加人员：管代  各部门主管。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管理评审内容包括：内审结果；环境方针、目标的可行性及实现情况等。</w:t>
            </w:r>
          </w:p>
          <w:p>
            <w:pPr>
              <w:spacing w:line="360" w:lineRule="auto"/>
              <w:rPr>
                <w:color w:val="000000" w:themeColor="text1"/>
              </w:rPr>
            </w:pPr>
            <w:r>
              <w:rPr>
                <w:rFonts w:hint="eastAsia"/>
                <w:color w:val="000000" w:themeColor="text1"/>
              </w:rPr>
              <w:t>管理评审会议结论：公司建立的环境管理体系方针和目标策划到位，编制的环境管理体系文件符合标准要求且有效运行，</w:t>
            </w:r>
            <w:r>
              <w:rPr>
                <w:rFonts w:hint="eastAsia"/>
                <w:color w:val="000000" w:themeColor="text1"/>
                <w:lang w:val="en-US" w:eastAsia="zh-CN"/>
              </w:rPr>
              <w:t>2021年管理评审提出的改进建议已经落实，</w:t>
            </w:r>
            <w:r>
              <w:rPr>
                <w:rFonts w:hint="eastAsia"/>
                <w:color w:val="000000" w:themeColor="text1"/>
              </w:rPr>
              <w:t>达到了环境管理体系运行的目的，验证了整个环境管理体系的实施和运行是处于受控状态，是适宜的、有效的，符合GB/T 24001-2016标准的相关要求及国家法律法规的要求。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vAlign w:val="center"/>
          </w:tcPr>
          <w:p>
            <w:pPr>
              <w:spacing w:line="360" w:lineRule="auto"/>
              <w:rPr>
                <w:color w:val="000000" w:themeColor="text1"/>
                <w:szCs w:val="21"/>
              </w:rPr>
            </w:pPr>
            <w:r>
              <w:rPr>
                <w:rFonts w:hint="eastAsia" w:asciiTheme="minorEastAsia" w:hAnsiTheme="minorEastAsia" w:eastAsiaTheme="minorEastAsia" w:cstheme="minorEastAsia"/>
                <w:szCs w:val="21"/>
              </w:rPr>
              <w:t>体系的运行现状及改进的要求</w:t>
            </w:r>
          </w:p>
        </w:tc>
        <w:tc>
          <w:tcPr>
            <w:tcW w:w="950"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cstheme="minorEastAsia"/>
                <w:szCs w:val="21"/>
              </w:rPr>
              <w:t>E10.1</w:t>
            </w:r>
          </w:p>
        </w:tc>
        <w:tc>
          <w:tcPr>
            <w:tcW w:w="11206"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总经理通过建立管理方针和目标，并鼓励员工提合理化建议，营造了一个激励改进的氛围，通过管理目标的建立与考核，明确了改进、努力的方向。</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企业自体系建立以来，通过内审的改进、管理评审；纠正措施的实施、顾客满意度调查等措施，采取了具体的改进措施。</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通过提高销售服务以满足需求，通过内审、管理评审、数据分析与实施纠正和纠正措施，建立一个自我完善、持续改进的机制，不断改进体系绩效和有效性。</w:t>
            </w:r>
          </w:p>
          <w:p>
            <w:pPr>
              <w:spacing w:line="360" w:lineRule="auto"/>
              <w:ind w:left="420" w:leftChars="200"/>
              <w:rPr>
                <w:rFonts w:hint="eastAsia"/>
                <w:color w:val="000000" w:themeColor="text1"/>
              </w:rPr>
            </w:pPr>
            <w:r>
              <w:rPr>
                <w:rFonts w:hint="eastAsia" w:asciiTheme="minorEastAsia" w:hAnsiTheme="minorEastAsia" w:eastAsiaTheme="minorEastAsia" w:cstheme="minorEastAsia"/>
                <w:szCs w:val="21"/>
              </w:rPr>
              <w:t>基本符合要求。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vAlign w:val="top"/>
          </w:tcPr>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50" w:type="dxa"/>
            <w:vAlign w:val="top"/>
          </w:tcPr>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E10.3</w:t>
            </w:r>
          </w:p>
        </w:tc>
        <w:tc>
          <w:tcPr>
            <w:tcW w:w="11206"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Theme="minorEastAsia" w:hAnsiTheme="minorEastAsia" w:eastAsiaTheme="minorEastAsia" w:cstheme="minorEastAsia"/>
                <w:szCs w:val="21"/>
                <w:lang w:eastAsia="zh-CN"/>
              </w:rPr>
              <w:t>不符合和纠正措施程序</w:t>
            </w:r>
            <w:r>
              <w:rPr>
                <w:rFonts w:hint="eastAsia" w:asciiTheme="minorEastAsia" w:hAnsiTheme="minorEastAsia" w:eastAsiaTheme="minorEastAsia" w:cstheme="minorEastAsia"/>
                <w:szCs w:val="21"/>
              </w:rPr>
              <w:t>》，规定了纠正措施的来源,明确了对不合格项应进行原因分析,制定纠正措施计划,实施跟踪验证,确保所采取 的纠正措施满足预期要求。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内审中发现的不符合项已经采取纠正措施，整改完毕且有效。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通过交谈，基本能清楚纠正和预防措施的控制要求。改进的示例包括纠正、纠正措施、持续改进。</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根据不同过程、不同产品和不同要求，采取不同的方法进行监视、测量和分析。无其他不符合发生。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公司利用质量方针、目标、内审和外审、数据分析、纠正和预防措施以及管理评审，识别任何改进的机会，持续改进质量管理体系的适宜性、充分性和有效性。</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资质验证  企业提供营业执照,企业资质在范围内(见附件)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投诉或事故:无</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政府主管部门监督抽查情况:无</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07" w:type="dxa"/>
            <w:vAlign w:val="center"/>
          </w:tcPr>
          <w:p>
            <w:pPr>
              <w:rPr>
                <w:rFonts w:ascii="宋体" w:hAnsi="宋体"/>
                <w:color w:val="000000" w:themeColor="text1"/>
                <w:szCs w:val="21"/>
              </w:rPr>
            </w:pPr>
            <w:r>
              <w:rPr>
                <w:rFonts w:hint="eastAsia"/>
                <w:sz w:val="21"/>
                <w:szCs w:val="21"/>
              </w:rPr>
              <w:t>对</w:t>
            </w:r>
            <w:r>
              <w:rPr>
                <w:rFonts w:hint="eastAsia"/>
                <w:sz w:val="21"/>
                <w:szCs w:val="21"/>
                <w:lang w:val="en-US" w:eastAsia="zh-CN"/>
              </w:rPr>
              <w:t>上次审核</w:t>
            </w:r>
            <w:r>
              <w:rPr>
                <w:rFonts w:hint="eastAsia"/>
                <w:sz w:val="21"/>
                <w:szCs w:val="21"/>
              </w:rPr>
              <w:t>问题整改情况的确认；</w:t>
            </w:r>
          </w:p>
        </w:tc>
        <w:tc>
          <w:tcPr>
            <w:tcW w:w="950" w:type="dxa"/>
            <w:vAlign w:val="center"/>
          </w:tcPr>
          <w:p>
            <w:pPr>
              <w:rPr>
                <w:rFonts w:ascii="宋体" w:hAnsi="宋体"/>
                <w:color w:val="000000" w:themeColor="text1"/>
                <w:szCs w:val="21"/>
              </w:rPr>
            </w:pPr>
          </w:p>
        </w:tc>
        <w:tc>
          <w:tcPr>
            <w:tcW w:w="11206" w:type="dxa"/>
            <w:vAlign w:val="center"/>
          </w:tcPr>
          <w:p>
            <w:pPr>
              <w:spacing w:line="360" w:lineRule="auto"/>
              <w:rPr>
                <w:rFonts w:hint="eastAsia" w:asciiTheme="minorEastAsia" w:hAnsiTheme="minorEastAsia" w:eastAsiaTheme="minorEastAsia"/>
                <w:szCs w:val="24"/>
              </w:rPr>
            </w:pPr>
            <w:r>
              <w:rPr>
                <w:rFonts w:hint="eastAsia" w:ascii="宋体" w:hAnsi="宋体"/>
                <w:color w:val="000000" w:themeColor="text1"/>
                <w:szCs w:val="21"/>
                <w:lang w:val="en-US" w:eastAsia="zh-CN"/>
              </w:rPr>
              <w:t>2021年</w:t>
            </w:r>
            <w:r>
              <w:rPr>
                <w:rFonts w:hint="eastAsia" w:ascii="宋体" w:hAnsi="宋体"/>
                <w:color w:val="000000" w:themeColor="text1"/>
                <w:szCs w:val="21"/>
              </w:rPr>
              <w:t>审核时发现的问题，经现场验证已关闭，整改措施有效。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907" w:type="dxa"/>
            <w:vAlign w:val="center"/>
          </w:tcPr>
          <w:p>
            <w:pPr>
              <w:rPr>
                <w:rFonts w:ascii="宋体" w:hAnsi="宋体"/>
                <w:color w:val="000000" w:themeColor="text1"/>
                <w:szCs w:val="21"/>
              </w:rPr>
            </w:pPr>
            <w:r>
              <w:rPr>
                <w:rFonts w:hint="eastAsia"/>
                <w:sz w:val="21"/>
                <w:szCs w:val="21"/>
              </w:rPr>
              <w:t>事故事件及起处理情况，环境安全监测情况、使用情况等</w:t>
            </w:r>
            <w:r>
              <w:rPr>
                <w:rFonts w:hint="eastAsia"/>
                <w:sz w:val="21"/>
                <w:szCs w:val="21"/>
                <w:lang w:eastAsia="zh-CN"/>
              </w:rPr>
              <w:t>，</w:t>
            </w:r>
          </w:p>
        </w:tc>
        <w:tc>
          <w:tcPr>
            <w:tcW w:w="950" w:type="dxa"/>
            <w:vAlign w:val="center"/>
          </w:tcPr>
          <w:p>
            <w:pPr>
              <w:rPr>
                <w:rFonts w:ascii="宋体" w:hAnsi="宋体"/>
                <w:color w:val="000000" w:themeColor="text1"/>
                <w:szCs w:val="21"/>
              </w:rPr>
            </w:pPr>
          </w:p>
        </w:tc>
        <w:tc>
          <w:tcPr>
            <w:tcW w:w="11206" w:type="dxa"/>
            <w:vAlign w:val="center"/>
          </w:tcPr>
          <w:p>
            <w:pPr>
              <w:spacing w:line="360" w:lineRule="auto"/>
            </w:pPr>
            <w:r>
              <w:rPr>
                <w:rFonts w:hint="eastAsia"/>
              </w:rPr>
              <w:t>自公司成立以来，未受到上级主管部门有关质量、环境问题、职业健康安全的行政处罚。未发生相关方的投诉。</w:t>
            </w:r>
          </w:p>
          <w:p>
            <w:pPr>
              <w:spacing w:line="360" w:lineRule="auto"/>
              <w:rPr>
                <w:rFonts w:hint="eastAsia"/>
              </w:rPr>
            </w:pPr>
            <w:r>
              <w:rPr>
                <w:rFonts w:hint="eastAsia"/>
              </w:rPr>
              <w:t>目前没有相关行政主管部门的检查处罚，在审核现场也未发现抽查、相关方投诉等情况。</w:t>
            </w:r>
          </w:p>
          <w:p>
            <w:pPr>
              <w:pStyle w:val="2"/>
              <w:rPr>
                <w:rFonts w:hint="eastAsia" w:asciiTheme="minorEastAsia" w:hAnsiTheme="minorEastAsia" w:eastAsiaTheme="minorEastAsia"/>
                <w:szCs w:val="24"/>
              </w:rPr>
            </w:pPr>
            <w:r>
              <w:rPr>
                <w:rFonts w:hint="eastAsia" w:asciiTheme="minorEastAsia" w:hAnsiTheme="minorEastAsia" w:eastAsiaTheme="minorEastAsia"/>
                <w:szCs w:val="24"/>
                <w:lang w:val="en-US" w:eastAsia="zh-CN"/>
              </w:rPr>
              <w:t>2022年3月21日、2022年4月21日对噪声进行了监测，结果排放达标。</w:t>
            </w:r>
          </w:p>
        </w:tc>
        <w:tc>
          <w:tcPr>
            <w:tcW w:w="646" w:type="dxa"/>
            <w:vAlign w:val="center"/>
          </w:tcPr>
          <w:p>
            <w:pPr>
              <w:rPr>
                <w:rFonts w:asciiTheme="minorEastAsia" w:hAnsiTheme="minorEastAsia" w:eastAsiaTheme="minorEastAsia"/>
                <w:szCs w:val="24"/>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4B5112F"/>
    <w:rsid w:val="057523EE"/>
    <w:rsid w:val="089808CE"/>
    <w:rsid w:val="0A8E14AD"/>
    <w:rsid w:val="1B100797"/>
    <w:rsid w:val="222B4109"/>
    <w:rsid w:val="277D521F"/>
    <w:rsid w:val="5943350B"/>
    <w:rsid w:val="59E06FAB"/>
    <w:rsid w:val="692716B1"/>
    <w:rsid w:val="737427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2022-10-04T13:42:28Z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24523A28F043498EBD5BB118BE69F034</vt:lpwstr>
  </property>
  <property fmtid="{D5CDD505-2E9C-101B-9397-08002B2CF9AE}" pid="3" name="KSOProductBuildVer">
    <vt:lpwstr>2052-11.1.0.12358</vt:lpwstr>
  </property>
</Properties>
</file>