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0480-2020-Q-2022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114"/>
        <w:gridCol w:w="818"/>
        <w:gridCol w:w="1108"/>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河北途祥电力科技有限公司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吉洁</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Q:ISC-Q-2020-1069,E:ISC-E-2020-0712,O:ISC-O-2020-0652</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91130982MA0D80N174</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eastAsia" w:eastAsia="宋体"/>
                <w:sz w:val="22"/>
                <w:szCs w:val="22"/>
                <w:lang w:val="en-US" w:eastAsia="zh-CN"/>
              </w:rPr>
            </w:pPr>
            <w:r>
              <w:rPr>
                <w:rFonts w:hint="eastAsia"/>
                <w:sz w:val="22"/>
                <w:szCs w:val="22"/>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w:t>
            </w:r>
          </w:p>
          <w:p>
            <w:pPr>
              <w:snapToGrid w:val="0"/>
              <w:spacing w:line="0" w:lineRule="atLeast"/>
              <w:jc w:val="left"/>
              <w:rPr>
                <w:sz w:val="22"/>
                <w:szCs w:val="22"/>
              </w:rPr>
            </w:pPr>
            <w:bookmarkStart w:id="6" w:name="E勾选"/>
            <w:r>
              <w:rPr>
                <w:rFonts w:hint="eastAsia"/>
                <w:sz w:val="22"/>
                <w:szCs w:val="22"/>
              </w:rPr>
              <w:t>■</w:t>
            </w:r>
            <w:bookmarkEnd w:id="6"/>
            <w:r>
              <w:rPr>
                <w:rFonts w:hint="eastAsia"/>
                <w:sz w:val="22"/>
                <w:szCs w:val="22"/>
              </w:rPr>
              <w:t xml:space="preserve"> GB/T 24001-2016 idt ISO 14001:2015</w:t>
            </w:r>
          </w:p>
          <w:p>
            <w:pPr>
              <w:snapToGrid w:val="0"/>
              <w:spacing w:line="0" w:lineRule="atLeast"/>
              <w:jc w:val="left"/>
              <w:rPr>
                <w:sz w:val="22"/>
                <w:szCs w:val="22"/>
              </w:rPr>
            </w:pPr>
            <w:bookmarkStart w:id="7" w:name="S勾选"/>
            <w:r>
              <w:rPr>
                <w:rFonts w:hint="eastAsia"/>
                <w:sz w:val="22"/>
                <w:szCs w:val="22"/>
              </w:rPr>
              <w:t>■</w:t>
            </w:r>
            <w:bookmarkEnd w:id="7"/>
            <w:r>
              <w:rPr>
                <w:rFonts w:hint="eastAsia"/>
                <w:sz w:val="22"/>
                <w:szCs w:val="22"/>
              </w:rPr>
              <w:t xml:space="preserve"> GB/T 45001-2020 idt ISO 45001:2018</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8" w:name="体系人数"/>
            <w:r>
              <w:rPr>
                <w:sz w:val="22"/>
                <w:szCs w:val="22"/>
              </w:rPr>
              <w:t>Q:25,E:25,O:25</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3"/>
              <w:spacing w:line="400" w:lineRule="exact"/>
              <w:ind w:firstLine="0"/>
              <w:rPr>
                <w:sz w:val="22"/>
                <w:szCs w:val="22"/>
              </w:rPr>
            </w:pPr>
            <w:bookmarkStart w:id="9" w:name="初审"/>
            <w:r>
              <w:rPr>
                <w:rFonts w:hint="eastAsia"/>
                <w:b/>
                <w:color w:val="000000" w:themeColor="text1"/>
                <w:spacing w:val="-2"/>
                <w:sz w:val="21"/>
                <w:szCs w:val="21"/>
              </w:rPr>
              <w:t>□</w:t>
            </w:r>
            <w:bookmarkEnd w:id="9"/>
            <w:r>
              <w:rPr>
                <w:rFonts w:hint="eastAsia"/>
                <w:b/>
                <w:color w:val="000000" w:themeColor="text1"/>
                <w:spacing w:val="-2"/>
                <w:sz w:val="21"/>
                <w:szCs w:val="21"/>
              </w:rPr>
              <w:t>初次认证</w:t>
            </w:r>
            <w:bookmarkStart w:id="10" w:name="监督勾选"/>
            <w:r>
              <w:rPr>
                <w:rFonts w:hint="eastAsia"/>
                <w:b/>
                <w:color w:val="000000" w:themeColor="text1"/>
                <w:spacing w:val="-2"/>
                <w:sz w:val="21"/>
                <w:szCs w:val="21"/>
              </w:rPr>
              <w:t>■</w:t>
            </w:r>
            <w:bookmarkEnd w:id="10"/>
            <w:r>
              <w:rPr>
                <w:rFonts w:hint="eastAsia"/>
                <w:b/>
                <w:color w:val="000000" w:themeColor="text1"/>
                <w:spacing w:val="-2"/>
                <w:sz w:val="21"/>
                <w:szCs w:val="21"/>
              </w:rPr>
              <w:t>监督审核</w:t>
            </w:r>
            <w:bookmarkStart w:id="11" w:name="再认证勾选"/>
            <w:r>
              <w:rPr>
                <w:rFonts w:hint="eastAsia"/>
                <w:b/>
                <w:color w:val="000000" w:themeColor="text1"/>
                <w:spacing w:val="-2"/>
                <w:sz w:val="21"/>
                <w:szCs w:val="21"/>
                <w:lang w:eastAsia="zh-CN"/>
              </w:rPr>
              <w:t>（</w:t>
            </w:r>
            <w:r>
              <w:rPr>
                <w:rFonts w:hint="eastAsia"/>
                <w:b/>
                <w:color w:val="000000" w:themeColor="text1"/>
                <w:spacing w:val="-2"/>
                <w:sz w:val="21"/>
                <w:szCs w:val="21"/>
                <w:lang w:val="en-US" w:eastAsia="zh-CN"/>
              </w:rPr>
              <w:t>扩项</w:t>
            </w:r>
            <w:r>
              <w:rPr>
                <w:rFonts w:hint="eastAsia"/>
                <w:b/>
                <w:color w:val="000000" w:themeColor="text1"/>
                <w:spacing w:val="-2"/>
                <w:sz w:val="21"/>
                <w:szCs w:val="21"/>
                <w:lang w:eastAsia="zh-CN"/>
              </w:rPr>
              <w:t>）</w:t>
            </w:r>
            <w:r>
              <w:rPr>
                <w:rFonts w:hint="eastAsia"/>
                <w:b/>
                <w:color w:val="000000" w:themeColor="text1"/>
                <w:spacing w:val="-2"/>
                <w:sz w:val="21"/>
                <w:szCs w:val="21"/>
              </w:rPr>
              <w:t>□</w:t>
            </w:r>
            <w:bookmarkEnd w:id="11"/>
            <w:r>
              <w:rPr>
                <w:rFonts w:hint="eastAsia"/>
                <w:b/>
                <w:color w:val="000000" w:themeColor="text1"/>
                <w:spacing w:val="-2"/>
                <w:sz w:val="21"/>
                <w:szCs w:val="21"/>
              </w:rPr>
              <w:t>再认证</w:t>
            </w:r>
            <w:bookmarkStart w:id="12" w:name="特殊审核勾选"/>
            <w:r>
              <w:rPr>
                <w:rFonts w:hint="eastAsia"/>
                <w:b/>
                <w:color w:val="000000" w:themeColor="text1"/>
                <w:spacing w:val="-2"/>
                <w:sz w:val="21"/>
                <w:szCs w:val="21"/>
              </w:rPr>
              <w:t>□</w:t>
            </w:r>
            <w:bookmarkEnd w:id="12"/>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3"/>
              <w:spacing w:line="360" w:lineRule="exact"/>
              <w:ind w:firstLine="0"/>
              <w:rPr>
                <w:b/>
                <w:color w:val="000000" w:themeColor="text1"/>
                <w:spacing w:val="-2"/>
                <w:sz w:val="21"/>
                <w:szCs w:val="21"/>
              </w:rPr>
            </w:pPr>
            <w:r>
              <w:rPr>
                <w:rFonts w:hint="eastAsia"/>
                <w:b/>
                <w:color w:val="000000" w:themeColor="text1"/>
                <w:sz w:val="22"/>
                <w:szCs w:val="22"/>
              </w:rPr>
              <w:t>□组织名称变更□地址变更</w:t>
            </w:r>
            <w:r>
              <w:rPr>
                <w:rFonts w:hint="eastAsia"/>
                <w:b/>
                <w:color w:val="000000" w:themeColor="text1"/>
                <w:sz w:val="22"/>
                <w:szCs w:val="22"/>
                <w:lang w:eastAsia="zh-CN"/>
              </w:rPr>
              <w:t>☑</w:t>
            </w:r>
            <w:r>
              <w:rPr>
                <w:rFonts w:hint="eastAsia"/>
                <w:b/>
                <w:color w:val="000000" w:themeColor="text1"/>
                <w:sz w:val="22"/>
                <w:szCs w:val="22"/>
              </w:rPr>
              <w:t>认证范围变更（</w:t>
            </w:r>
            <w:r>
              <w:rPr>
                <w:rFonts w:hint="eastAsia"/>
                <w:b/>
                <w:color w:val="000000" w:themeColor="text1"/>
                <w:sz w:val="22"/>
                <w:szCs w:val="22"/>
                <w:lang w:eastAsia="zh-CN"/>
              </w:rPr>
              <w:t>☑</w:t>
            </w:r>
            <w:r>
              <w:rPr>
                <w:rFonts w:hint="eastAsia"/>
                <w:b/>
                <w:color w:val="000000" w:themeColor="text1"/>
                <w:sz w:val="22"/>
                <w:szCs w:val="22"/>
              </w:rPr>
              <w:t>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pStyle w:val="14"/>
              <w:ind w:left="0" w:firstLine="4096" w:firstLineChars="1700"/>
              <w:rPr>
                <w:bCs/>
                <w:color w:val="4F81BD" w:themeColor="accent1"/>
                <w:sz w:val="24"/>
                <w:szCs w:val="24"/>
              </w:rPr>
            </w:pPr>
            <w:r>
              <w:rPr>
                <w:rFonts w:hint="eastAsia"/>
                <w:bCs/>
                <w:color w:val="4F81BD" w:themeColor="accent1"/>
                <w:sz w:val="24"/>
                <w:szCs w:val="24"/>
              </w:rPr>
              <w:t>申   请</w:t>
            </w:r>
          </w:p>
          <w:p>
            <w:pPr>
              <w:pStyle w:val="14"/>
              <w:ind w:left="0"/>
              <w:rPr>
                <w:rFonts w:ascii="宋体" w:hAnsi="宋体" w:cs="宋体"/>
                <w:bCs/>
                <w:color w:val="4F81BD" w:themeColor="accent1"/>
                <w:sz w:val="22"/>
                <w:szCs w:val="22"/>
              </w:rPr>
            </w:pPr>
            <w:r>
              <w:rPr>
                <w:rFonts w:hint="eastAsia" w:ascii="宋体" w:hAnsi="宋体" w:cs="宋体"/>
                <w:bCs/>
                <w:color w:val="4F81BD" w:themeColor="accent1"/>
                <w:sz w:val="22"/>
                <w:szCs w:val="22"/>
              </w:rPr>
              <w:t>□ 公司因投招标使用，需证书里的产品/服务内容一致</w:t>
            </w:r>
          </w:p>
          <w:p>
            <w:pPr>
              <w:pStyle w:val="14"/>
              <w:ind w:left="0"/>
              <w:rPr>
                <w:rFonts w:ascii="宋体" w:hAnsi="宋体" w:cs="宋体"/>
                <w:bCs/>
                <w:color w:val="4F81BD" w:themeColor="accent1"/>
                <w:sz w:val="22"/>
                <w:szCs w:val="22"/>
              </w:rPr>
            </w:pPr>
            <w:r>
              <w:rPr>
                <w:rFonts w:hint="eastAsia" w:ascii="宋体" w:hAnsi="宋体" w:cs="宋体"/>
                <w:bCs/>
                <w:color w:val="4F81BD" w:themeColor="accent1"/>
                <w:sz w:val="22"/>
                <w:szCs w:val="22"/>
                <w:lang w:eastAsia="zh-CN"/>
              </w:rPr>
              <w:t>☑</w:t>
            </w:r>
            <w:r>
              <w:rPr>
                <w:rFonts w:hint="eastAsia" w:ascii="宋体" w:hAnsi="宋体" w:cs="宋体"/>
                <w:bCs/>
                <w:color w:val="4F81BD" w:themeColor="accent1"/>
                <w:sz w:val="22"/>
                <w:szCs w:val="22"/>
              </w:rPr>
              <w:t xml:space="preserve"> 公司需与其它体系或服务认证证书中的产品/服务范围表述一致，便于统一管理，统一招投标使用</w:t>
            </w:r>
          </w:p>
          <w:p>
            <w:pPr>
              <w:pStyle w:val="14"/>
              <w:ind w:left="0"/>
              <w:rPr>
                <w:rFonts w:ascii="宋体" w:hAnsi="宋体" w:cs="宋体"/>
                <w:bCs/>
                <w:color w:val="4F81BD" w:themeColor="accent1"/>
                <w:sz w:val="22"/>
                <w:szCs w:val="22"/>
              </w:rPr>
            </w:pPr>
            <w:r>
              <w:rPr>
                <w:rFonts w:hint="eastAsia" w:ascii="宋体" w:hAnsi="宋体" w:cs="宋体"/>
                <w:bCs/>
                <w:color w:val="4F81BD" w:themeColor="accent1"/>
                <w:sz w:val="22"/>
                <w:szCs w:val="22"/>
              </w:rPr>
              <w:t>□ 需与原获证证书范围一致，以便于统一管理。</w:t>
            </w:r>
          </w:p>
          <w:p>
            <w:pPr>
              <w:pStyle w:val="14"/>
              <w:ind w:left="0"/>
              <w:rPr>
                <w:rFonts w:ascii="宋体" w:hAnsi="宋体" w:cs="宋体"/>
                <w:bCs/>
                <w:color w:val="4F81BD" w:themeColor="accent1"/>
                <w:sz w:val="22"/>
                <w:szCs w:val="22"/>
              </w:rPr>
            </w:pPr>
          </w:p>
          <w:p>
            <w:pPr>
              <w:pStyle w:val="14"/>
              <w:ind w:left="0"/>
              <w:rPr>
                <w:rFonts w:hint="eastAsia"/>
                <w:b/>
                <w:color w:val="000000" w:themeColor="text1"/>
                <w:sz w:val="22"/>
                <w:szCs w:val="22"/>
              </w:rPr>
            </w:pPr>
            <w:r>
              <w:rPr>
                <w:rFonts w:hint="eastAsia" w:ascii="宋体" w:hAnsi="宋体" w:cs="宋体"/>
                <w:bCs/>
                <w:color w:val="4F81BD" w:themeColor="accent1"/>
                <w:sz w:val="22"/>
                <w:szCs w:val="22"/>
              </w:rPr>
              <w:t>特申请QMS为一张证书，无CNAS认可标志。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4"/>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114" w:type="dxa"/>
          </w:tcPr>
          <w:p>
            <w:pPr>
              <w:snapToGrid w:val="0"/>
              <w:spacing w:line="0" w:lineRule="atLeast"/>
              <w:jc w:val="left"/>
              <w:rPr>
                <w:sz w:val="22"/>
                <w:szCs w:val="22"/>
              </w:rPr>
            </w:pPr>
            <w:r>
              <w:rPr>
                <w:rFonts w:hint="eastAsia"/>
                <w:sz w:val="22"/>
                <w:szCs w:val="22"/>
                <w:lang w:val="en-GB"/>
              </w:rPr>
              <w:t>中文公司名称及地址</w:t>
            </w:r>
          </w:p>
        </w:tc>
        <w:tc>
          <w:tcPr>
            <w:tcW w:w="5272"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114" w:type="dxa"/>
          </w:tcPr>
          <w:p>
            <w:pPr>
              <w:snapToGrid w:val="0"/>
              <w:spacing w:line="0" w:lineRule="atLeast"/>
              <w:jc w:val="left"/>
              <w:rPr>
                <w:sz w:val="22"/>
                <w:szCs w:val="22"/>
                <w:lang w:val="en-GB"/>
              </w:rPr>
            </w:pPr>
            <w:bookmarkStart w:id="13" w:name="组织名称Add1"/>
            <w:r>
              <w:rPr>
                <w:rFonts w:hint="eastAsia"/>
                <w:sz w:val="22"/>
                <w:szCs w:val="22"/>
              </w:rPr>
              <w:t>河北途祥电力科技有限公司</w:t>
            </w:r>
            <w:bookmarkEnd w:id="13"/>
          </w:p>
        </w:tc>
        <w:tc>
          <w:tcPr>
            <w:tcW w:w="5272" w:type="dxa"/>
            <w:gridSpan w:val="4"/>
            <w:vMerge w:val="restart"/>
          </w:tcPr>
          <w:p>
            <w:pPr>
              <w:rPr>
                <w:sz w:val="21"/>
                <w:szCs w:val="21"/>
              </w:rPr>
            </w:pPr>
            <w:bookmarkStart w:id="14" w:name="范围英"/>
            <w:bookmarkEnd w:id="14"/>
            <w:bookmarkStart w:id="15" w:name="审核范围"/>
            <w:r>
              <w:rPr>
                <w:sz w:val="21"/>
                <w:szCs w:val="21"/>
              </w:rPr>
              <w:t>Q：电力管材（PE管材、PVC管材、MPP管材）、冷缩管、塑料通讯管材、钢绞线、线路铁件（电力铁附件）、井盖及附件、警示牌、宽带网络箱、光纤分纤箱、光缆终端盒、光缆接头盒、走线架的生产和销售</w:t>
            </w:r>
          </w:p>
          <w:p>
            <w:pPr>
              <w:rPr>
                <w:sz w:val="21"/>
                <w:szCs w:val="21"/>
              </w:rPr>
            </w:pPr>
            <w:r>
              <w:rPr>
                <w:sz w:val="21"/>
                <w:szCs w:val="21"/>
              </w:rPr>
              <w:t>E：电力管材（PE管材、PVC管材、MPP管材）、冷缩管、塑料通讯管材、钢绞线、线路铁件（电力铁附件）、井盖及附件、警示牌、宽带网络箱、光纤分纤箱、光缆终端盒、光缆接头盒、走线架的生产和销售</w:t>
            </w:r>
            <w:r>
              <w:rPr>
                <w:sz w:val="20"/>
              </w:rPr>
              <w:t>及其相关的环境管理活动</w:t>
            </w:r>
          </w:p>
          <w:p>
            <w:pPr>
              <w:snapToGrid w:val="0"/>
              <w:spacing w:line="0" w:lineRule="atLeast"/>
              <w:jc w:val="left"/>
              <w:rPr>
                <w:sz w:val="22"/>
                <w:szCs w:val="22"/>
              </w:rPr>
            </w:pPr>
            <w:r>
              <w:rPr>
                <w:sz w:val="21"/>
                <w:szCs w:val="21"/>
              </w:rPr>
              <w:t>O：电力管材（PE管材、PVC管材、MPP管材）、冷缩管、塑料通讯管材、钢绞线、线路铁件（电力铁附件）、井盖及附件、警示牌、宽带网络箱、光纤分纤箱、光缆终端盒、光缆接头盒、走线架的生产和销售</w:t>
            </w:r>
            <w:bookmarkEnd w:id="15"/>
            <w:r>
              <w:rPr>
                <w:sz w:val="20"/>
              </w:rPr>
              <w:t>及其相关的</w:t>
            </w:r>
            <w:r>
              <w:rPr>
                <w:rFonts w:hint="eastAsia"/>
                <w:sz w:val="20"/>
                <w:lang w:val="en-US" w:eastAsia="zh-CN"/>
              </w:rPr>
              <w:t>职业健康安全</w:t>
            </w:r>
            <w:r>
              <w:rPr>
                <w:sz w:val="20"/>
              </w:rPr>
              <w:t>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114" w:type="dxa"/>
          </w:tcPr>
          <w:p>
            <w:pPr>
              <w:snapToGrid w:val="0"/>
              <w:spacing w:line="0" w:lineRule="atLeast"/>
              <w:jc w:val="left"/>
              <w:rPr>
                <w:sz w:val="22"/>
                <w:szCs w:val="22"/>
              </w:rPr>
            </w:pPr>
            <w:bookmarkStart w:id="16" w:name="注册地址"/>
            <w:r>
              <w:rPr>
                <w:rFonts w:hint="eastAsia"/>
                <w:sz w:val="22"/>
                <w:szCs w:val="22"/>
                <w:lang w:val="en-GB"/>
              </w:rPr>
              <w:t>任丘市麻家坞镇陈庄村村南</w:t>
            </w:r>
            <w:bookmarkEnd w:id="16"/>
          </w:p>
        </w:tc>
        <w:tc>
          <w:tcPr>
            <w:tcW w:w="5272"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114" w:type="dxa"/>
          </w:tcPr>
          <w:p>
            <w:pPr>
              <w:snapToGrid w:val="0"/>
              <w:spacing w:line="0" w:lineRule="atLeast"/>
              <w:jc w:val="left"/>
              <w:rPr>
                <w:sz w:val="22"/>
                <w:szCs w:val="22"/>
              </w:rPr>
            </w:pPr>
            <w:bookmarkStart w:id="17" w:name="办公地址"/>
            <w:r>
              <w:rPr>
                <w:rFonts w:hint="eastAsia"/>
                <w:sz w:val="22"/>
                <w:szCs w:val="22"/>
                <w:lang w:val="en-GB"/>
              </w:rPr>
              <w:t>任丘市麻家坞镇陈庄村村南</w:t>
            </w:r>
            <w:bookmarkEnd w:id="17"/>
          </w:p>
        </w:tc>
        <w:tc>
          <w:tcPr>
            <w:tcW w:w="5272"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114"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272"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114" w:type="dxa"/>
          </w:tcPr>
          <w:p>
            <w:pPr>
              <w:snapToGrid w:val="0"/>
              <w:spacing w:line="0" w:lineRule="atLeast"/>
              <w:jc w:val="left"/>
              <w:rPr>
                <w:sz w:val="22"/>
                <w:szCs w:val="22"/>
              </w:rPr>
            </w:pPr>
            <w:r>
              <w:rPr>
                <w:rFonts w:hint="eastAsia"/>
                <w:sz w:val="22"/>
                <w:szCs w:val="22"/>
              </w:rPr>
              <w:t>Hebei Tuxiang Electric Power Technology Co., Ltd</w:t>
            </w:r>
          </w:p>
        </w:tc>
        <w:tc>
          <w:tcPr>
            <w:tcW w:w="818" w:type="dxa"/>
          </w:tcPr>
          <w:p>
            <w:pPr>
              <w:snapToGrid w:val="0"/>
              <w:spacing w:line="0" w:lineRule="atLeast"/>
              <w:jc w:val="left"/>
              <w:rPr>
                <w:sz w:val="22"/>
                <w:szCs w:val="22"/>
              </w:rPr>
            </w:pPr>
            <w:r>
              <w:rPr>
                <w:rFonts w:hint="eastAsia"/>
                <w:sz w:val="22"/>
                <w:szCs w:val="22"/>
              </w:rPr>
              <w:t>QMS</w:t>
            </w:r>
          </w:p>
        </w:tc>
        <w:tc>
          <w:tcPr>
            <w:tcW w:w="4454" w:type="dxa"/>
            <w:gridSpan w:val="3"/>
          </w:tcPr>
          <w:p>
            <w:pPr>
              <w:snapToGrid w:val="0"/>
              <w:spacing w:line="0" w:lineRule="atLeast"/>
              <w:jc w:val="left"/>
              <w:rPr>
                <w:sz w:val="21"/>
                <w:szCs w:val="16"/>
              </w:rPr>
            </w:pPr>
            <w:r>
              <w:rPr>
                <w:rFonts w:hint="eastAsia"/>
                <w:sz w:val="21"/>
                <w:szCs w:val="16"/>
              </w:rPr>
              <w:t>Production and sales of power pipes (PE pipes, PVC pipes, MPP pipes), cold shrinkable pipes, plastic communication pipes, steel strands, line iron parts (power rail accessories), well covers and accessories, warning signs, broadband network boxes, optical fiber distribution boxes, optical cable terminal boxes, optical cable connector boxes, and cable racks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114" w:type="dxa"/>
          </w:tcPr>
          <w:p>
            <w:pPr>
              <w:snapToGrid w:val="0"/>
              <w:spacing w:line="0" w:lineRule="atLeast"/>
              <w:jc w:val="left"/>
              <w:rPr>
                <w:sz w:val="22"/>
                <w:szCs w:val="22"/>
              </w:rPr>
            </w:pPr>
            <w:r>
              <w:rPr>
                <w:rFonts w:hint="eastAsia"/>
                <w:sz w:val="22"/>
                <w:szCs w:val="22"/>
              </w:rPr>
              <w:t>South of Chenzhuang village, Majiawu Town, Renqiu City</w:t>
            </w:r>
          </w:p>
        </w:tc>
        <w:tc>
          <w:tcPr>
            <w:tcW w:w="818" w:type="dxa"/>
          </w:tcPr>
          <w:p>
            <w:pPr>
              <w:snapToGrid w:val="0"/>
              <w:spacing w:line="0" w:lineRule="atLeast"/>
              <w:jc w:val="left"/>
              <w:rPr>
                <w:sz w:val="22"/>
                <w:szCs w:val="22"/>
              </w:rPr>
            </w:pPr>
            <w:r>
              <w:rPr>
                <w:rFonts w:hint="eastAsia"/>
                <w:sz w:val="22"/>
                <w:szCs w:val="22"/>
              </w:rPr>
              <w:t>EMS</w:t>
            </w:r>
          </w:p>
        </w:tc>
        <w:tc>
          <w:tcPr>
            <w:tcW w:w="4454" w:type="dxa"/>
            <w:gridSpan w:val="3"/>
          </w:tcPr>
          <w:p>
            <w:pPr>
              <w:snapToGrid w:val="0"/>
              <w:spacing w:line="0" w:lineRule="atLeast"/>
              <w:jc w:val="left"/>
              <w:rPr>
                <w:sz w:val="22"/>
                <w:szCs w:val="22"/>
              </w:rPr>
            </w:pPr>
            <w:r>
              <w:rPr>
                <w:rFonts w:ascii="Times New Roman"/>
                <w:bCs/>
                <w:sz w:val="24"/>
                <w:szCs w:val="24"/>
              </w:rPr>
              <w:t>The Relative Environment Management Activities about</w:t>
            </w:r>
            <w:r>
              <w:rPr>
                <w:rFonts w:hint="eastAsia"/>
                <w:bCs/>
                <w:sz w:val="24"/>
                <w:szCs w:val="24"/>
                <w:lang w:val="en-US" w:eastAsia="zh-CN"/>
              </w:rPr>
              <w:t xml:space="preserve"> </w:t>
            </w:r>
            <w:r>
              <w:rPr>
                <w:rFonts w:hint="eastAsia"/>
                <w:sz w:val="21"/>
                <w:szCs w:val="16"/>
              </w:rPr>
              <w:t>Production and sales of power pipes (PE pipes, PVC pipes, MPP pipes), cold shrinkable pipes, plastic communication pipes, steel strands, line iron parts (power rail accessories), well covers and accessories, warning signs, broadband network boxes, optical fiber distribution boxes, optical cable terminal boxes, optical cable connector boxes, and cable racks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114" w:type="dxa"/>
          </w:tcPr>
          <w:p>
            <w:pPr>
              <w:snapToGrid w:val="0"/>
              <w:spacing w:line="0" w:lineRule="atLeast"/>
              <w:jc w:val="left"/>
              <w:rPr>
                <w:sz w:val="22"/>
                <w:szCs w:val="22"/>
              </w:rPr>
            </w:pPr>
            <w:r>
              <w:rPr>
                <w:rFonts w:hint="eastAsia"/>
                <w:sz w:val="22"/>
                <w:szCs w:val="22"/>
              </w:rPr>
              <w:t>South of Chenzhuang village, Majiawu Town, Renqiu City</w:t>
            </w:r>
          </w:p>
        </w:tc>
        <w:tc>
          <w:tcPr>
            <w:tcW w:w="818" w:type="dxa"/>
          </w:tcPr>
          <w:p>
            <w:pPr>
              <w:snapToGrid w:val="0"/>
              <w:spacing w:line="0" w:lineRule="atLeast"/>
              <w:jc w:val="left"/>
              <w:rPr>
                <w:sz w:val="22"/>
                <w:szCs w:val="22"/>
              </w:rPr>
            </w:pPr>
            <w:r>
              <w:rPr>
                <w:rFonts w:hint="eastAsia"/>
                <w:sz w:val="22"/>
                <w:szCs w:val="22"/>
              </w:rPr>
              <w:t>OHSMS</w:t>
            </w:r>
          </w:p>
        </w:tc>
        <w:tc>
          <w:tcPr>
            <w:tcW w:w="4454" w:type="dxa"/>
            <w:gridSpan w:val="3"/>
          </w:tcPr>
          <w:p>
            <w:pPr>
              <w:snapToGrid w:val="0"/>
              <w:spacing w:line="0" w:lineRule="atLeast"/>
              <w:jc w:val="left"/>
              <w:rPr>
                <w:sz w:val="22"/>
                <w:szCs w:val="22"/>
              </w:rPr>
            </w:pPr>
            <w:r>
              <w:rPr>
                <w:rFonts w:ascii="Times New Roman"/>
                <w:bCs/>
                <w:sz w:val="24"/>
                <w:szCs w:val="24"/>
              </w:rPr>
              <w:t>The Relative Occupational Health Safety Management Activities about</w:t>
            </w:r>
            <w:r>
              <w:rPr>
                <w:rFonts w:hint="eastAsia"/>
                <w:bCs/>
                <w:sz w:val="24"/>
                <w:szCs w:val="24"/>
                <w:lang w:val="en-US" w:eastAsia="zh-CN"/>
              </w:rPr>
              <w:t xml:space="preserve"> </w:t>
            </w:r>
            <w:r>
              <w:rPr>
                <w:rFonts w:hint="eastAsia"/>
                <w:sz w:val="21"/>
                <w:szCs w:val="16"/>
              </w:rPr>
              <w:t>Production and sales of power pipes (PE pipes, PVC pipes, MPP pipes), cold shrinkable pipes, plastic communication pipes, steel strands, line iron parts (power rail accessories), well covers and accessories, warning signs, broadband network boxes, optical fiber distribution boxes, optical cable terminal boxes, optical cable connector boxes, and cable racks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eastAsia" w:cs="Arial"/>
                <w:b/>
                <w:bCs/>
                <w:sz w:val="22"/>
                <w:szCs w:val="16"/>
              </w:rPr>
            </w:pPr>
            <w:r>
              <w:rPr>
                <w:rFonts w:hint="eastAsia" w:cs="Arial"/>
                <w:b/>
                <w:bCs/>
                <w:sz w:val="22"/>
                <w:szCs w:val="16"/>
              </w:rPr>
              <w:t>受审核方</w:t>
            </w:r>
          </w:p>
          <w:p>
            <w:pPr>
              <w:snapToGrid w:val="0"/>
              <w:spacing w:line="0" w:lineRule="atLeast"/>
              <w:jc w:val="left"/>
              <w:rPr>
                <w:rFonts w:cs="Arial"/>
                <w:b/>
                <w:bCs/>
                <w:sz w:val="22"/>
                <w:szCs w:val="16"/>
              </w:rPr>
            </w:pPr>
            <w:r>
              <w:rPr>
                <w:rFonts w:hint="eastAsia" w:cs="Arial"/>
                <w:b/>
                <w:bCs/>
                <w:sz w:val="22"/>
                <w:szCs w:val="16"/>
              </w:rPr>
              <w:t>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rFonts w:hint="eastAsia"/>
                <w:sz w:val="22"/>
                <w:szCs w:val="18"/>
              </w:rPr>
            </w:pP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796290</wp:posOffset>
                  </wp:positionH>
                  <wp:positionV relativeFrom="paragraph">
                    <wp:posOffset>22860</wp:posOffset>
                  </wp:positionV>
                  <wp:extent cx="1116330" cy="537210"/>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5"/>
                          <a:stretch>
                            <a:fillRect/>
                          </a:stretch>
                        </pic:blipFill>
                        <pic:spPr>
                          <a:xfrm>
                            <a:off x="0" y="0"/>
                            <a:ext cx="1116330" cy="537210"/>
                          </a:xfrm>
                          <a:prstGeom prst="rect">
                            <a:avLst/>
                          </a:prstGeom>
                          <a:noFill/>
                          <a:ln>
                            <a:noFill/>
                          </a:ln>
                        </pic:spPr>
                      </pic:pic>
                    </a:graphicData>
                  </a:graphic>
                </wp:anchor>
              </w:drawing>
            </w:r>
            <w:r>
              <w:rPr>
                <w:rFonts w:hint="eastAsia"/>
                <w:sz w:val="22"/>
                <w:szCs w:val="18"/>
              </w:rPr>
              <w:t>审核组长</w:t>
            </w:r>
          </w:p>
          <w:p>
            <w:pPr>
              <w:snapToGrid w:val="0"/>
              <w:spacing w:line="0" w:lineRule="atLeast"/>
              <w:jc w:val="left"/>
              <w:rPr>
                <w:sz w:val="22"/>
                <w:szCs w:val="22"/>
              </w:rPr>
            </w:pPr>
            <w:r>
              <w:rPr>
                <w:rFonts w:hint="eastAsia"/>
                <w:sz w:val="22"/>
                <w:szCs w:val="18"/>
              </w:rPr>
              <w:t>签字</w:t>
            </w:r>
          </w:p>
        </w:tc>
        <w:tc>
          <w:tcPr>
            <w:tcW w:w="1976" w:type="dxa"/>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eastAsia" w:eastAsia="宋体" w:cs="Arial"/>
                <w:b/>
                <w:bCs/>
                <w:sz w:val="22"/>
                <w:szCs w:val="16"/>
                <w:lang w:val="en-US" w:eastAsia="zh-CN"/>
              </w:rPr>
            </w:pPr>
            <w:r>
              <w:rPr>
                <w:rFonts w:hint="eastAsia" w:cs="Arial"/>
                <w:b/>
                <w:bCs/>
                <w:sz w:val="22"/>
                <w:szCs w:val="16"/>
                <w:lang w:val="en-US" w:eastAsia="zh-CN"/>
              </w:rPr>
              <w:t>日期</w:t>
            </w:r>
          </w:p>
        </w:tc>
        <w:tc>
          <w:tcPr>
            <w:tcW w:w="5040" w:type="dxa"/>
            <w:gridSpan w:val="3"/>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2022.9.10</w:t>
            </w:r>
          </w:p>
        </w:tc>
        <w:tc>
          <w:tcPr>
            <w:tcW w:w="1370" w:type="dxa"/>
          </w:tcPr>
          <w:p>
            <w:pPr>
              <w:snapToGrid w:val="0"/>
              <w:spacing w:line="0" w:lineRule="atLeast"/>
              <w:jc w:val="left"/>
              <w:rPr>
                <w:rFonts w:hint="eastAsia" w:eastAsia="宋体"/>
                <w:sz w:val="22"/>
                <w:szCs w:val="18"/>
                <w:lang w:val="en-US" w:eastAsia="zh-CN"/>
              </w:rPr>
            </w:pPr>
            <w:r>
              <w:rPr>
                <w:rFonts w:hint="eastAsia"/>
                <w:sz w:val="22"/>
                <w:szCs w:val="18"/>
                <w:lang w:val="en-US" w:eastAsia="zh-CN"/>
              </w:rPr>
              <w:t>日期</w:t>
            </w:r>
          </w:p>
        </w:tc>
        <w:tc>
          <w:tcPr>
            <w:tcW w:w="1976" w:type="dxa"/>
          </w:tcPr>
          <w:p>
            <w:pPr>
              <w:snapToGrid w:val="0"/>
              <w:spacing w:line="0" w:lineRule="atLeast"/>
              <w:jc w:val="left"/>
              <w:rPr>
                <w:rFonts w:hint="default" w:eastAsia="宋体"/>
                <w:sz w:val="22"/>
                <w:szCs w:val="22"/>
                <w:lang w:val="en-US" w:eastAsia="zh-CN"/>
              </w:rPr>
            </w:pPr>
            <w:r>
              <w:rPr>
                <w:rFonts w:hint="eastAsia"/>
                <w:sz w:val="22"/>
                <w:szCs w:val="22"/>
                <w:lang w:val="en-US" w:eastAsia="zh-CN"/>
              </w:rPr>
              <w:t>2022.9.10</w:t>
            </w: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rPr>
          <w:rFonts w:hint="eastAsia" w:eastAsia="宋体"/>
          <w:lang w:eastAsia="zh-CN"/>
        </w:rPr>
      </w:pPr>
      <w:r>
        <w:rPr>
          <w:rFonts w:hint="eastAsia" w:eastAsia="宋体"/>
          <w:lang w:eastAsia="zh-CN"/>
        </w:rPr>
        <w:drawing>
          <wp:inline distT="0" distB="0" distL="114300" distR="114300">
            <wp:extent cx="6177915" cy="8787130"/>
            <wp:effectExtent l="0" t="0" r="6985" b="1270"/>
            <wp:docPr id="2" name="图片 2" descr="4ea704767ae57c600f244b0030c46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ea704767ae57c600f244b0030c46be"/>
                    <pic:cNvPicPr>
                      <a:picLocks noChangeAspect="1"/>
                    </pic:cNvPicPr>
                  </pic:nvPicPr>
                  <pic:blipFill>
                    <a:blip r:embed="rId6"/>
                    <a:stretch>
                      <a:fillRect/>
                    </a:stretch>
                  </pic:blipFill>
                  <pic:spPr>
                    <a:xfrm>
                      <a:off x="0" y="0"/>
                      <a:ext cx="6177915" cy="8787130"/>
                    </a:xfrm>
                    <a:prstGeom prst="rect">
                      <a:avLst/>
                    </a:prstGeom>
                  </pic:spPr>
                </pic:pic>
              </a:graphicData>
            </a:graphic>
          </wp:inline>
        </w:drawing>
      </w:r>
      <w:bookmarkStart w:id="18" w:name="_GoBack"/>
      <w:bookmarkEnd w:id="18"/>
    </w:p>
    <w:p>
      <w:pPr>
        <w:snapToGrid w:val="0"/>
        <w:spacing w:line="0" w:lineRule="atLeast"/>
      </w:pPr>
    </w:p>
    <w:p>
      <w:pPr>
        <w:pStyle w:val="3"/>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0EC70101"/>
    <w:rsid w:val="5B5F2D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link w:val="9"/>
    <w:qFormat/>
    <w:uiPriority w:val="0"/>
    <w:pPr>
      <w:snapToGrid w:val="0"/>
      <w:spacing w:line="336" w:lineRule="auto"/>
      <w:ind w:firstLine="630"/>
    </w:pPr>
    <w:rPr>
      <w:sz w:val="32"/>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正文文本缩进 Char"/>
    <w:basedOn w:val="8"/>
    <w:link w:val="3"/>
    <w:qFormat/>
    <w:uiPriority w:val="0"/>
    <w:rPr>
      <w:rFonts w:ascii="Times New Roman" w:hAnsi="Times New Roman" w:eastAsia="宋体" w:cs="Times New Roman"/>
      <w:sz w:val="32"/>
      <w:szCs w:val="20"/>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apple-converted-space"/>
    <w:basedOn w:val="8"/>
    <w:qFormat/>
    <w:uiPriority w:val="0"/>
  </w:style>
  <w:style w:type="paragraph" w:customStyle="1" w:styleId="14">
    <w:name w:val="Body 9pt Bold"/>
    <w:basedOn w:val="1"/>
    <w:qFormat/>
    <w:uiPriority w:val="0"/>
    <w:pPr>
      <w:ind w:left="170"/>
    </w:pPr>
    <w:rPr>
      <w:b/>
      <w:sz w:val="18"/>
    </w:rPr>
  </w:style>
  <w:style w:type="paragraph" w:customStyle="1" w:styleId="15">
    <w:name w:val="Body 8pt Feeder"/>
    <w:basedOn w:val="1"/>
    <w:next w:val="1"/>
    <w:qFormat/>
    <w:uiPriority w:val="0"/>
    <w:pPr>
      <w:spacing w:before="40" w:after="40"/>
      <w:ind w:left="284" w:right="284"/>
    </w:pPr>
    <w:rPr>
      <w:sz w:val="16"/>
    </w:rPr>
  </w:style>
  <w:style w:type="paragraph" w:customStyle="1" w:styleId="16">
    <w:name w:val="Body 7pt"/>
    <w:basedOn w:val="1"/>
    <w:qFormat/>
    <w:uiPriority w:val="0"/>
    <w:pPr>
      <w:spacing w:before="40" w:after="40"/>
      <w:jc w:val="left"/>
    </w:pPr>
    <w:rPr>
      <w:sz w:val="14"/>
    </w:rPr>
  </w:style>
  <w:style w:type="paragraph" w:customStyle="1" w:styleId="17">
    <w:name w:val="Body 9pt"/>
    <w:basedOn w:val="1"/>
    <w:qFormat/>
    <w:uiPriority w:val="0"/>
    <w:pPr>
      <w:spacing w:before="40" w:after="40"/>
    </w:pPr>
    <w:rPr>
      <w:sz w:val="18"/>
    </w:rPr>
  </w:style>
  <w:style w:type="paragraph" w:customStyle="1" w:styleId="18">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1259</Words>
  <Characters>2089</Characters>
  <Lines>19</Lines>
  <Paragraphs>5</Paragraphs>
  <TotalTime>1</TotalTime>
  <ScaleCrop>false</ScaleCrop>
  <LinksUpToDate>false</LinksUpToDate>
  <CharactersWithSpaces>2312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2022-10-05T07:55:48Z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2052-11.1.0.12358</vt:lpwstr>
  </property>
</Properties>
</file>