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QMS </w:t>
      </w:r>
      <w:r>
        <w:rPr>
          <w:rFonts w:hint="eastAsia"/>
          <w:b/>
          <w:sz w:val="22"/>
          <w:szCs w:val="22"/>
        </w:rPr>
        <w:t>□5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2533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河北途祥电力科技有限公司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14.02.01;17.06.01;17.12.03;17.12.05;19.11.03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吉洁、张星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见上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受培训人员姓名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杨园、吉洁、张星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1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bookmarkStart w:id="0" w:name="_GoBack"/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通信光缆：外购套管光纤—绞合成缆—纵包铝塑/钢塑复合带—挤HDPE护套—印子—成轴；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通信箱体：剪板—冲压—折边—焊接—表面处理（外包）—组装；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塑料通信器材：配料—搅拌—加热—挤出/注塑—成型—牵引—切割；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通信铁件：下料—冲压—表面处理（外包）—装配；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钢绞线：打盘—绞合—成型；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电话线：导线束绞—挤绝缘—检验—包装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线路铁件：下料—冲压—（焊接）—表面处理（外包）—装配；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线路警示牌：下料—冲压—贴膜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通信井具：称重备料—搅拌—骨架焊接—压制成型—出模—检验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电力管材：配料—搅拌—挤出—成型—冷却--牵引—切割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走线架：下料—冲压—表面处理（外包）—装配</w:t>
            </w:r>
          </w:p>
          <w:p>
            <w:pPr>
              <w:snapToGrid w:val="0"/>
              <w:spacing w:line="280" w:lineRule="exact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销售：业务洽谈—合同评审—合同签订—产品采购—产品验证—交付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关键过程：下料；需确认过程：焊接、挤出，主要控制尺寸、电流、温度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1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YD/T841-2016《地下通信管道用塑料管》、YD/T1313-2008《宽带接入用综合配线箱》、YD/T 901-2009《层绞式通信用室外光缆》、YD/T206.27-1997《架空通信线路铁件 抱箍类》、YD/T206.7-1997《架空通信线路铁件 单槽夹板》、YD/T206.21-1997《架空通信线路铁件 电缆挂钩》、GB/T 13306-2011《标牌》、GB/T23858-2009《检查井盖》、DL/T802.3-2018《电力电缆用导管技术条件第3部分：氯化氯乙烯聚及硬聚氯乙烯塑料电缆导管》、DL/T802.7-2010《电力电缆用导管技术条件第7部分：非开挖用聚丙烯塑料电缆导管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外观、尺寸、电阻等，不需型式检验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678815</wp:posOffset>
                  </wp:positionH>
                  <wp:positionV relativeFrom="paragraph">
                    <wp:posOffset>57785</wp:posOffset>
                  </wp:positionV>
                  <wp:extent cx="590550" cy="393700"/>
                  <wp:effectExtent l="0" t="0" r="6350" b="0"/>
                  <wp:wrapNone/>
                  <wp:docPr id="1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44450</wp:posOffset>
                  </wp:positionV>
                  <wp:extent cx="560070" cy="269875"/>
                  <wp:effectExtent l="0" t="0" r="11430" b="10160"/>
                  <wp:wrapNone/>
                  <wp:docPr id="3" name="图片 3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070" cy="269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2022.9.9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2249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120650</wp:posOffset>
                  </wp:positionV>
                  <wp:extent cx="792480" cy="381635"/>
                  <wp:effectExtent l="0" t="0" r="0" b="0"/>
                  <wp:wrapNone/>
                  <wp:docPr id="4" name="图片 4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0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2022.9.9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3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河北途祥电力科技有限公司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14.02.01;17.06.01;17.12.03;17.12.05;19.11.03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吉洁、张星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见上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杨园、吉洁、张星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见QMS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1"/>
                <w:szCs w:val="21"/>
              </w:rPr>
              <w:t>固体废弃物排放、火灾的发生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 w:cs="宋体"/>
                <w:sz w:val="21"/>
                <w:szCs w:val="21"/>
              </w:rPr>
              <w:t>环境因素的识别与评价控制程序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环境和职业健康安全运行控制程序、应急准备和响应控制程序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环境保护法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GB12348-2008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14605</wp:posOffset>
                  </wp:positionV>
                  <wp:extent cx="702310" cy="338455"/>
                  <wp:effectExtent l="0" t="0" r="0" b="3810"/>
                  <wp:wrapNone/>
                  <wp:docPr id="5" name="图片 5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310" cy="338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759460</wp:posOffset>
                  </wp:positionH>
                  <wp:positionV relativeFrom="paragraph">
                    <wp:posOffset>131445</wp:posOffset>
                  </wp:positionV>
                  <wp:extent cx="590550" cy="393700"/>
                  <wp:effectExtent l="0" t="0" r="6350" b="0"/>
                  <wp:wrapNone/>
                  <wp:docPr id="1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2022.9.9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77470</wp:posOffset>
                  </wp:positionV>
                  <wp:extent cx="1109980" cy="534670"/>
                  <wp:effectExtent l="0" t="0" r="0" b="0"/>
                  <wp:wrapNone/>
                  <wp:docPr id="6" name="图片 6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980" cy="53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2022.9.9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OHSMS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3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河北途祥电力科技有限公司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14.02.01;17.06.01;17.12.03;17.12.05;19.11.03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吉洁、张星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见上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杨园、吉洁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见QMS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潜在火灾、触电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废气伤害、机械伤害、物体打击、意外伤害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/>
                <w:sz w:val="21"/>
                <w:szCs w:val="21"/>
              </w:rPr>
              <w:t>危险源辨识、风险评价控制程序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环境和职业健康安全运行控制程序、应急准备和响应控制程序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劳动法、消防法、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安全生产法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传染病病防治法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164465</wp:posOffset>
                  </wp:positionV>
                  <wp:extent cx="725805" cy="349885"/>
                  <wp:effectExtent l="0" t="0" r="10795" b="0"/>
                  <wp:wrapNone/>
                  <wp:docPr id="7" name="图片 7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805" cy="34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840740</wp:posOffset>
                  </wp:positionH>
                  <wp:positionV relativeFrom="paragraph">
                    <wp:posOffset>120015</wp:posOffset>
                  </wp:positionV>
                  <wp:extent cx="590550" cy="393700"/>
                  <wp:effectExtent l="0" t="0" r="6350" b="0"/>
                  <wp:wrapNone/>
                  <wp:docPr id="1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2022.9.9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54610</wp:posOffset>
                  </wp:positionV>
                  <wp:extent cx="1109980" cy="534670"/>
                  <wp:effectExtent l="0" t="0" r="0" b="0"/>
                  <wp:wrapNone/>
                  <wp:docPr id="8" name="图片 8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980" cy="53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2022.9.9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2"/>
        <w:rFonts w:hint="default"/>
      </w:rPr>
    </w:pPr>
    <w:r>
      <w:rPr>
        <w:rStyle w:val="12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4DF52E5D"/>
    <w:rsid w:val="7A8339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="Calibri" w:hAnsi="Calibri" w:eastAsia="宋体" w:cs="Times New Roman"/>
      <w:b/>
      <w:kern w:val="44"/>
      <w:sz w:val="44"/>
      <w:szCs w:val="2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sz w:val="28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2022-10-06T03:11:52Z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2052-11.1.0.12358</vt:lpwstr>
  </property>
</Properties>
</file>