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8"/>
          <w:szCs w:val="28"/>
          <w:u w:val="single"/>
        </w:rPr>
        <w:t>宝鸡市陈仓区东升锻造厂</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0154-2019-M/0490-2019-E-2022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0154-2019-M/0490-2019-E-2022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宝鸡市陈仓区东升锻造厂</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尚铁娃</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ISC-2019-0519</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 xml:space="preserve">2024-10-28 </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三</w:t>
            </w:r>
            <w:bookmarkEnd w:id="8"/>
            <w:r>
              <w:rPr>
                <w:rFonts w:hint="eastAsia" w:cs="宋体" w:asciiTheme="minorEastAsia" w:hAnsiTheme="minorEastAsia"/>
                <w:kern w:val="0"/>
                <w:szCs w:val="21"/>
                <w:lang w:val="en-US" w:eastAsia="zh-CN"/>
              </w:rPr>
              <w:t>次监督审核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2022年09月09日</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eastAsia="宋体" w:cs="Times New Roman"/>
                <w:color w:val="000000"/>
                <w:szCs w:val="21"/>
                <w:lang w:val="en-US" w:eastAsia="zh-CN"/>
              </w:rPr>
              <w:t xml:space="preserve">李俐  </w:t>
            </w:r>
            <w:r>
              <w:rPr>
                <w:rFonts w:hint="eastAsia" w:ascii="宋体" w:hAnsi="宋体" w:eastAsia="宋体" w:cs="Times New Roman"/>
                <w:color w:val="000000"/>
                <w:szCs w:val="21"/>
              </w:rPr>
              <w:t>2021-M1MMS-2222792</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jc w:val="both"/>
              <w:rPr>
                <w:rFonts w:cs="宋体" w:asciiTheme="minorEastAsia" w:hAnsiTheme="minorEastAsia"/>
                <w:kern w:val="0"/>
                <w:szCs w:val="21"/>
              </w:rPr>
            </w:pPr>
            <w:r>
              <w:rPr>
                <w:rFonts w:hint="default" w:ascii="宋体" w:eastAsia="宋体"/>
                <w:lang w:val="en-US" w:eastAsia="zh-CN"/>
              </w:rPr>
              <w:t>办公室</w:t>
            </w:r>
            <w:r>
              <w:rPr>
                <w:rFonts w:hint="eastAsia" w:ascii="宋体" w:eastAsia="宋体"/>
                <w:lang w:val="en-US" w:eastAsia="zh-CN"/>
              </w:rPr>
              <w:t>、</w:t>
            </w:r>
            <w:r>
              <w:rPr>
                <w:rFonts w:hint="eastAsia" w:ascii="宋体"/>
                <w:szCs w:val="22"/>
                <w:lang w:val="en-US" w:eastAsia="zh-CN"/>
              </w:rPr>
              <w:t>供销部</w:t>
            </w:r>
            <w:r>
              <w:rPr>
                <w:rFonts w:hint="eastAsia" w:eastAsia="新宋体"/>
                <w:szCs w:val="21"/>
              </w:rPr>
              <w:t xml:space="preserve"> </w:t>
            </w:r>
            <w:r>
              <w:rPr>
                <w:rFonts w:hint="eastAsia" w:eastAsia="新宋体"/>
                <w:szCs w:val="21"/>
                <w:lang w:eastAsia="zh-CN"/>
              </w:rPr>
              <w:t>、</w:t>
            </w:r>
            <w:r>
              <w:rPr>
                <w:rFonts w:hint="eastAsia" w:ascii="宋体"/>
                <w:szCs w:val="22"/>
                <w:lang w:val="en-US" w:eastAsia="zh-CN"/>
              </w:rPr>
              <w:t>生产部、</w:t>
            </w:r>
            <w:r>
              <w:rPr>
                <w:rFonts w:hint="eastAsia" w:ascii="宋体"/>
                <w:lang w:val="en-US" w:eastAsia="zh-CN"/>
              </w:rPr>
              <w:t>检验部、</w:t>
            </w:r>
            <w:r>
              <w:rPr>
                <w:rFonts w:hint="eastAsia" w:ascii="宋体"/>
              </w:rPr>
              <w:t>技术质量</w:t>
            </w:r>
            <w:r>
              <w:rPr>
                <w:rFonts w:hint="eastAsia" w:ascii="宋体"/>
                <w:lang w:val="en-US" w:eastAsia="zh-CN"/>
              </w:rPr>
              <w:t>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1.</w:t>
      </w:r>
      <w:r>
        <w:rPr>
          <w:rFonts w:cs="宋体" w:asciiTheme="minorEastAsia" w:hAnsiTheme="minorEastAsia"/>
          <w:bCs/>
          <w:color w:val="000000" w:themeColor="text1"/>
          <w:kern w:val="0"/>
          <w:szCs w:val="21"/>
        </w:rPr>
        <w:t>一年内违反法律法规</w:t>
      </w:r>
      <w:r>
        <w:rPr>
          <w:rFonts w:hint="eastAsia" w:cs="宋体" w:asciiTheme="minorEastAsia" w:hAnsiTheme="minorEastAsia"/>
          <w:bCs/>
          <w:color w:val="000000" w:themeColor="text1"/>
          <w:kern w:val="0"/>
          <w:szCs w:val="21"/>
        </w:rPr>
        <w:t>或</w:t>
      </w:r>
      <w:r>
        <w:rPr>
          <w:rFonts w:cs="宋体" w:asciiTheme="minorEastAsia" w:hAnsiTheme="minorEastAsia"/>
          <w:bCs/>
          <w:color w:val="000000" w:themeColor="text1"/>
          <w:kern w:val="0"/>
          <w:szCs w:val="21"/>
        </w:rPr>
        <w:t>重大事故的情况：</w:t>
      </w:r>
    </w:p>
    <w:p>
      <w:pPr>
        <w:spacing w:line="360" w:lineRule="auto"/>
        <w:ind w:firstLine="420" w:firstLineChars="200"/>
        <w:rPr>
          <w:rFonts w:hint="eastAsia" w:ascii="宋体" w:hAnsi="宋体" w:cs="宋体"/>
          <w:bCs/>
          <w:color w:val="0070C0"/>
          <w:kern w:val="0"/>
          <w:szCs w:val="21"/>
        </w:rPr>
      </w:pPr>
      <w:r>
        <w:rPr>
          <w:rFonts w:hint="eastAsia" w:ascii="宋体" w:hAnsi="宋体" w:cs="宋体"/>
          <w:bCs/>
          <w:color w:val="000000" w:themeColor="text1"/>
          <w:kern w:val="0"/>
          <w:szCs w:val="21"/>
        </w:rPr>
        <w:t>20</w:t>
      </w:r>
      <w:r>
        <w:rPr>
          <w:rFonts w:hint="eastAsia" w:ascii="宋体" w:hAnsi="宋体" w:cs="宋体"/>
          <w:bCs/>
          <w:color w:val="000000" w:themeColor="text1"/>
          <w:kern w:val="0"/>
          <w:szCs w:val="21"/>
          <w:lang w:eastAsia="zh-CN"/>
        </w:rPr>
        <w:t>21</w:t>
      </w:r>
      <w:r>
        <w:rPr>
          <w:rFonts w:hint="eastAsia" w:ascii="宋体" w:hAnsi="宋体" w:cs="宋体"/>
          <w:bCs/>
          <w:color w:val="000000" w:themeColor="text1"/>
          <w:kern w:val="0"/>
          <w:szCs w:val="21"/>
        </w:rPr>
        <w:t>年</w:t>
      </w:r>
      <w:r>
        <w:rPr>
          <w:rFonts w:hint="eastAsia" w:ascii="宋体" w:hAnsi="宋体" w:cs="宋体"/>
          <w:bCs/>
          <w:color w:val="000000" w:themeColor="text1"/>
          <w:kern w:val="0"/>
          <w:szCs w:val="21"/>
          <w:lang w:eastAsia="zh-CN"/>
        </w:rPr>
        <w:t>8</w:t>
      </w:r>
      <w:r>
        <w:rPr>
          <w:rFonts w:hint="eastAsia" w:ascii="宋体" w:hAnsi="宋体" w:cs="宋体"/>
          <w:bCs/>
          <w:color w:val="000000" w:themeColor="text1"/>
          <w:kern w:val="0"/>
          <w:szCs w:val="21"/>
        </w:rPr>
        <w:t>月至今，公司日常运行中生产经营平稳，企业未有违反法律、法规问题和产品质量问题的投诉或重大质量事故发生。企业营业执照等资质未发生变化。</w:t>
      </w:r>
    </w:p>
    <w:p>
      <w:pPr>
        <w:widowControl/>
        <w:spacing w:line="360"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spacing w:line="360" w:lineRule="auto"/>
        <w:rPr>
          <w:rStyle w:val="10"/>
          <w:rFonts w:ascii="宋体" w:eastAsia="宋体"/>
          <w:color w:val="000000" w:themeColor="text1"/>
          <w:sz w:val="21"/>
          <w:szCs w:val="21"/>
        </w:rPr>
      </w:pPr>
      <w:r>
        <w:rPr>
          <w:rStyle w:val="10"/>
          <w:rFonts w:hint="eastAsia" w:ascii="宋体" w:eastAsia="宋体"/>
          <w:color w:val="000000" w:themeColor="text1"/>
          <w:sz w:val="21"/>
          <w:szCs w:val="21"/>
        </w:rPr>
        <w:t>2.1内审情况：</w:t>
      </w:r>
      <w:r>
        <w:rPr>
          <w:rFonts w:hint="eastAsia" w:ascii="宋体" w:hAnsi="宋体"/>
          <w:bCs/>
          <w:color w:val="000000" w:themeColor="text1"/>
          <w:szCs w:val="21"/>
        </w:rPr>
        <w:t>公司于202</w:t>
      </w:r>
      <w:r>
        <w:rPr>
          <w:rFonts w:hint="eastAsia" w:ascii="宋体" w:hAnsi="宋体"/>
          <w:bCs/>
          <w:color w:val="000000" w:themeColor="text1"/>
          <w:szCs w:val="21"/>
          <w:lang w:eastAsia="zh-CN"/>
        </w:rPr>
        <w:t>2</w:t>
      </w:r>
      <w:r>
        <w:rPr>
          <w:rFonts w:hint="eastAsia" w:ascii="宋体" w:hAnsi="宋体"/>
          <w:bCs/>
          <w:color w:val="000000" w:themeColor="text1"/>
          <w:szCs w:val="21"/>
        </w:rPr>
        <w:t>年</w:t>
      </w:r>
      <w:r>
        <w:rPr>
          <w:rFonts w:hint="eastAsia" w:ascii="宋体" w:hAnsi="宋体"/>
          <w:bCs/>
          <w:color w:val="000000" w:themeColor="text1"/>
          <w:szCs w:val="21"/>
          <w:lang w:eastAsia="zh-CN"/>
        </w:rPr>
        <w:t>7</w:t>
      </w:r>
      <w:r>
        <w:rPr>
          <w:rFonts w:hint="eastAsia" w:ascii="宋体" w:hAnsi="宋体"/>
          <w:bCs/>
          <w:color w:val="000000" w:themeColor="text1"/>
          <w:szCs w:val="21"/>
        </w:rPr>
        <w:t>月</w:t>
      </w:r>
      <w:r>
        <w:rPr>
          <w:rFonts w:hint="eastAsia" w:ascii="宋体" w:hAnsi="宋体"/>
          <w:bCs/>
          <w:color w:val="000000" w:themeColor="text1"/>
          <w:szCs w:val="21"/>
          <w:lang w:eastAsia="zh-CN"/>
        </w:rPr>
        <w:t>25</w:t>
      </w:r>
      <w:r>
        <w:rPr>
          <w:rFonts w:hint="eastAsia" w:ascii="宋体" w:hAnsi="宋体"/>
          <w:bCs/>
          <w:color w:val="000000" w:themeColor="text1"/>
          <w:szCs w:val="21"/>
        </w:rPr>
        <w:t>日组织了公司</w:t>
      </w:r>
      <w:r>
        <w:rPr>
          <w:rFonts w:ascii="宋体" w:hAnsi="宋体"/>
          <w:bCs/>
          <w:color w:val="000000" w:themeColor="text1"/>
          <w:szCs w:val="21"/>
        </w:rPr>
        <w:t>测量管理体系，</w:t>
      </w:r>
      <w:r>
        <w:rPr>
          <w:rFonts w:hint="eastAsia" w:ascii="宋体" w:hAnsi="宋体"/>
          <w:bCs/>
          <w:color w:val="000000" w:themeColor="text1"/>
          <w:szCs w:val="21"/>
        </w:rPr>
        <w:t>内审分</w:t>
      </w:r>
      <w:r>
        <w:rPr>
          <w:rFonts w:hint="eastAsia" w:ascii="宋体" w:hAnsi="宋体"/>
          <w:bCs/>
          <w:color w:val="000000" w:themeColor="text1"/>
          <w:szCs w:val="21"/>
          <w:lang w:eastAsia="zh-CN"/>
        </w:rPr>
        <w:t>2</w:t>
      </w:r>
      <w:r>
        <w:rPr>
          <w:rFonts w:hint="eastAsia" w:ascii="宋体" w:hAnsi="宋体"/>
          <w:bCs/>
          <w:color w:val="000000" w:themeColor="text1"/>
          <w:szCs w:val="21"/>
        </w:rPr>
        <w:t>个组，对公司</w:t>
      </w:r>
      <w:r>
        <w:rPr>
          <w:rFonts w:hint="eastAsia" w:ascii="宋体" w:hAnsi="宋体"/>
          <w:bCs/>
          <w:color w:val="000000" w:themeColor="text1"/>
          <w:szCs w:val="21"/>
          <w:lang w:eastAsia="zh-CN"/>
        </w:rPr>
        <w:t>5</w:t>
      </w:r>
      <w:r>
        <w:rPr>
          <w:rFonts w:hint="eastAsia" w:ascii="宋体" w:hAnsi="宋体"/>
          <w:bCs/>
          <w:color w:val="000000" w:themeColor="text1"/>
          <w:szCs w:val="21"/>
        </w:rPr>
        <w:t>个部门进行了全要素的审核，</w:t>
      </w:r>
      <w:r>
        <w:rPr>
          <w:rFonts w:ascii="宋体" w:hAnsi="宋体"/>
          <w:bCs/>
          <w:color w:val="000000" w:themeColor="text1"/>
          <w:szCs w:val="21"/>
        </w:rPr>
        <w:t>共开出了</w:t>
      </w:r>
      <w:r>
        <w:rPr>
          <w:rFonts w:hint="eastAsia" w:ascii="宋体" w:hAnsi="宋体"/>
          <w:bCs/>
          <w:color w:val="000000" w:themeColor="text1"/>
          <w:szCs w:val="21"/>
          <w:lang w:eastAsia="zh-CN"/>
        </w:rPr>
        <w:t>1</w:t>
      </w:r>
      <w:r>
        <w:rPr>
          <w:rFonts w:hint="eastAsia" w:ascii="宋体" w:hAnsi="宋体"/>
          <w:bCs/>
          <w:color w:val="000000" w:themeColor="text1"/>
          <w:szCs w:val="21"/>
        </w:rPr>
        <w:t>不</w:t>
      </w:r>
      <w:r>
        <w:rPr>
          <w:rFonts w:ascii="宋体" w:hAnsi="宋体"/>
          <w:bCs/>
          <w:color w:val="000000" w:themeColor="text1"/>
          <w:szCs w:val="21"/>
        </w:rPr>
        <w:t>符合项</w:t>
      </w:r>
      <w:r>
        <w:rPr>
          <w:rFonts w:hint="eastAsia" w:ascii="宋体" w:hAnsi="宋体"/>
          <w:bCs/>
          <w:color w:val="000000" w:themeColor="text1"/>
          <w:szCs w:val="21"/>
        </w:rPr>
        <w:t>，于</w:t>
      </w:r>
      <w:r>
        <w:rPr>
          <w:rFonts w:hint="eastAsia" w:ascii="宋体" w:hAnsi="宋体"/>
          <w:bCs/>
          <w:color w:val="000000" w:themeColor="text1"/>
          <w:szCs w:val="21"/>
          <w:lang w:eastAsia="zh-CN"/>
        </w:rPr>
        <w:t>7</w:t>
      </w:r>
      <w:r>
        <w:rPr>
          <w:rFonts w:hint="eastAsia" w:ascii="宋体" w:hAnsi="宋体"/>
          <w:bCs/>
          <w:color w:val="000000" w:themeColor="text1"/>
          <w:szCs w:val="21"/>
        </w:rPr>
        <w:t>月</w:t>
      </w:r>
      <w:r>
        <w:rPr>
          <w:rFonts w:hint="eastAsia" w:ascii="宋体" w:hAnsi="宋体"/>
          <w:bCs/>
          <w:color w:val="000000" w:themeColor="text1"/>
          <w:szCs w:val="21"/>
          <w:lang w:eastAsia="zh-CN"/>
        </w:rPr>
        <w:t>30</w:t>
      </w:r>
      <w:r>
        <w:rPr>
          <w:rFonts w:hint="eastAsia" w:ascii="宋体" w:hAnsi="宋体"/>
          <w:bCs/>
          <w:color w:val="000000" w:themeColor="text1"/>
          <w:szCs w:val="21"/>
        </w:rPr>
        <w:t>日完成整改。</w:t>
      </w:r>
    </w:p>
    <w:p>
      <w:pPr>
        <w:spacing w:line="360" w:lineRule="auto"/>
        <w:rPr>
          <w:rStyle w:val="10"/>
          <w:rFonts w:ascii="宋体" w:eastAsia="宋体"/>
          <w:color w:val="000000" w:themeColor="text1"/>
          <w:sz w:val="21"/>
          <w:szCs w:val="21"/>
        </w:rPr>
      </w:pPr>
      <w:r>
        <w:rPr>
          <w:rStyle w:val="10"/>
          <w:rFonts w:hint="eastAsia" w:ascii="宋体" w:eastAsia="宋体"/>
          <w:color w:val="000000" w:themeColor="text1"/>
          <w:sz w:val="21"/>
          <w:szCs w:val="21"/>
        </w:rPr>
        <w:t>2.2管理评审情况：企</w:t>
      </w:r>
      <w:r>
        <w:rPr>
          <w:rFonts w:hint="eastAsia"/>
          <w:bCs/>
          <w:color w:val="000000" w:themeColor="text1"/>
          <w:szCs w:val="21"/>
        </w:rPr>
        <w:t>业</w:t>
      </w:r>
      <w:r>
        <w:rPr>
          <w:rFonts w:hint="eastAsia"/>
          <w:color w:val="000000" w:themeColor="text1"/>
          <w:szCs w:val="21"/>
        </w:rPr>
        <w:t>于20</w:t>
      </w:r>
      <w:r>
        <w:rPr>
          <w:rFonts w:hint="eastAsia"/>
          <w:color w:val="000000" w:themeColor="text1"/>
          <w:szCs w:val="21"/>
          <w:lang w:eastAsia="zh-CN"/>
        </w:rPr>
        <w:t>22</w:t>
      </w:r>
      <w:r>
        <w:rPr>
          <w:rFonts w:hint="eastAsia"/>
          <w:color w:val="000000" w:themeColor="text1"/>
          <w:szCs w:val="21"/>
        </w:rPr>
        <w:t>年</w:t>
      </w:r>
      <w:r>
        <w:rPr>
          <w:rFonts w:hint="eastAsia"/>
          <w:color w:val="000000" w:themeColor="text1"/>
          <w:szCs w:val="21"/>
          <w:lang w:eastAsia="zh-CN"/>
        </w:rPr>
        <w:t>8</w:t>
      </w:r>
      <w:r>
        <w:rPr>
          <w:rFonts w:hint="eastAsia"/>
          <w:color w:val="000000" w:themeColor="text1"/>
          <w:szCs w:val="21"/>
        </w:rPr>
        <w:t>月</w:t>
      </w:r>
      <w:r>
        <w:rPr>
          <w:rFonts w:hint="eastAsia"/>
          <w:color w:val="000000" w:themeColor="text1"/>
          <w:szCs w:val="21"/>
          <w:lang w:eastAsia="zh-CN"/>
        </w:rPr>
        <w:t>15</w:t>
      </w:r>
      <w:r>
        <w:rPr>
          <w:rFonts w:hint="eastAsia"/>
          <w:color w:val="000000" w:themeColor="text1"/>
          <w:szCs w:val="21"/>
        </w:rPr>
        <w:t>日</w:t>
      </w:r>
      <w:r>
        <w:rPr>
          <w:color w:val="000000" w:themeColor="text1"/>
          <w:szCs w:val="21"/>
        </w:rPr>
        <w:t>开展</w:t>
      </w:r>
      <w:r>
        <w:rPr>
          <w:rFonts w:hint="eastAsia"/>
          <w:color w:val="000000" w:themeColor="text1"/>
          <w:szCs w:val="21"/>
        </w:rPr>
        <w:t>了单体系管理评审，会议</w:t>
      </w:r>
      <w:r>
        <w:rPr>
          <w:color w:val="000000" w:themeColor="text1"/>
          <w:szCs w:val="21"/>
        </w:rPr>
        <w:t>由</w:t>
      </w:r>
      <w:r>
        <w:rPr>
          <w:rFonts w:hint="eastAsia"/>
          <w:color w:val="000000" w:themeColor="text1"/>
          <w:szCs w:val="21"/>
        </w:rPr>
        <w:t>公司总经理</w:t>
      </w:r>
      <w:r>
        <w:rPr>
          <w:rFonts w:hint="eastAsia" w:ascii="宋体" w:hAnsi="宋体" w:cs="宋体"/>
          <w:bCs/>
          <w:color w:val="000000" w:themeColor="text1"/>
          <w:kern w:val="0"/>
          <w:szCs w:val="21"/>
          <w:lang w:val="en-US" w:eastAsia="zh-CN"/>
        </w:rPr>
        <w:t>赵国军</w:t>
      </w:r>
      <w:r>
        <w:rPr>
          <w:rFonts w:hint="eastAsia"/>
          <w:color w:val="000000" w:themeColor="text1"/>
          <w:szCs w:val="21"/>
        </w:rPr>
        <w:t>主持，由</w:t>
      </w:r>
      <w:r>
        <w:rPr>
          <w:color w:val="000000" w:themeColor="text1"/>
          <w:szCs w:val="21"/>
        </w:rPr>
        <w:t>管理者代表</w:t>
      </w:r>
      <w:r>
        <w:rPr>
          <w:rFonts w:cs="宋体" w:asciiTheme="minorEastAsia" w:hAnsiTheme="minorEastAsia"/>
          <w:color w:val="000000" w:themeColor="text1"/>
          <w:kern w:val="0"/>
          <w:szCs w:val="21"/>
        </w:rPr>
        <w:t>尚铁娃</w:t>
      </w:r>
      <w:r>
        <w:rPr>
          <w:color w:val="000000" w:themeColor="text1"/>
          <w:szCs w:val="21"/>
        </w:rPr>
        <w:t>汇报了体系运行情况。</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。形成</w:t>
      </w:r>
      <w:r>
        <w:rPr>
          <w:color w:val="000000" w:themeColor="text1"/>
          <w:szCs w:val="21"/>
        </w:rPr>
        <w:t>了管理评审报告</w:t>
      </w:r>
      <w:r>
        <w:rPr>
          <w:rFonts w:hint="eastAsia"/>
          <w:color w:val="000000" w:themeColor="text1"/>
          <w:szCs w:val="21"/>
        </w:rPr>
        <w:t>，对公司测量管理体系目前存在的</w:t>
      </w:r>
      <w:r>
        <w:rPr>
          <w:rFonts w:hint="eastAsia"/>
          <w:color w:val="000000" w:themeColor="text1"/>
          <w:szCs w:val="21"/>
          <w:lang w:eastAsia="zh-CN"/>
        </w:rPr>
        <w:t>1</w:t>
      </w:r>
      <w:r>
        <w:rPr>
          <w:rFonts w:hint="eastAsia"/>
          <w:color w:val="000000" w:themeColor="text1"/>
          <w:szCs w:val="21"/>
        </w:rPr>
        <w:t>个方面的问题落实了整改部门。</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3.为持续改进而策划的活动的进展企业对识别的关键测量过程进行了持续的控制，</w:t>
      </w:r>
      <w:r>
        <w:rPr>
          <w:rFonts w:hint="eastAsia" w:cs="宋体" w:asciiTheme="minorEastAsia" w:hAnsiTheme="minorEastAsia"/>
          <w:bCs/>
          <w:color w:val="000000" w:themeColor="text1"/>
          <w:kern w:val="0"/>
          <w:szCs w:val="21"/>
          <w:lang w:eastAsia="zh-CN"/>
        </w:rPr>
        <w:t>未</w:t>
      </w:r>
      <w:r>
        <w:rPr>
          <w:rFonts w:hint="eastAsia" w:cs="宋体" w:asciiTheme="minorEastAsia" w:hAnsiTheme="minorEastAsia"/>
          <w:bCs/>
          <w:color w:val="000000" w:themeColor="text1"/>
          <w:kern w:val="0"/>
          <w:szCs w:val="21"/>
        </w:rPr>
        <w:t>增关键测量过程：</w:t>
      </w:r>
    </w:p>
    <w:p>
      <w:pPr>
        <w:widowControl/>
        <w:spacing w:line="360" w:lineRule="auto"/>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a)计量要求的导出和验证：查</w:t>
      </w:r>
      <w:r>
        <w:rPr>
          <w:rFonts w:hint="eastAsia" w:ascii="Times New Roman" w:hAnsi="Times New Roman" w:cs="Times New Roman"/>
          <w:color w:val="000000" w:themeColor="text1"/>
        </w:rPr>
        <w:t>倒挡滑动齿套硬度</w:t>
      </w:r>
      <w:r>
        <w:rPr>
          <w:rFonts w:hint="eastAsia" w:ascii="Times New Roman" w:hAnsi="Times New Roman" w:cs="Times New Roman"/>
          <w:color w:val="000000" w:themeColor="text1"/>
          <w:lang w:val="en-US" w:eastAsia="zh-CN"/>
        </w:rPr>
        <w:t>测量</w:t>
      </w:r>
      <w:r>
        <w:rPr>
          <w:rFonts w:hint="eastAsia"/>
          <w:color w:val="000000" w:themeColor="text1"/>
        </w:rPr>
        <w:t>过程，计量要求导出方法正确，验证满足测量过程要求。祥见附件《计量要求导出及验证记录表》</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w:t>
      </w:r>
      <w:r>
        <w:rPr>
          <w:rFonts w:cs="宋体" w:asciiTheme="minorEastAsia" w:hAnsiTheme="minorEastAsia"/>
          <w:color w:val="000000" w:themeColor="text1"/>
          <w:kern w:val="0"/>
          <w:szCs w:val="21"/>
        </w:rPr>
        <w:t>测量不确定评定</w:t>
      </w:r>
      <w:r>
        <w:rPr>
          <w:rFonts w:hint="eastAsia" w:cs="宋体" w:asciiTheme="minorEastAsia" w:hAnsiTheme="minorEastAsia"/>
          <w:color w:val="000000" w:themeColor="text1"/>
          <w:kern w:val="0"/>
          <w:szCs w:val="21"/>
        </w:rPr>
        <w:t>：查</w:t>
      </w:r>
      <w:r>
        <w:rPr>
          <w:rFonts w:hint="eastAsia" w:ascii="Times New Roman" w:hAnsi="Times New Roman" w:cs="Times New Roman"/>
          <w:color w:val="000000" w:themeColor="text1"/>
        </w:rPr>
        <w:t>倒挡滑动齿套硬度</w:t>
      </w:r>
      <w:r>
        <w:rPr>
          <w:rFonts w:hint="eastAsia" w:ascii="Times New Roman" w:hAnsi="Times New Roman" w:cs="Times New Roman"/>
          <w:color w:val="000000" w:themeColor="text1"/>
          <w:lang w:val="en-US" w:eastAsia="zh-CN"/>
        </w:rPr>
        <w:t>测量</w:t>
      </w:r>
      <w:r>
        <w:rPr>
          <w:rFonts w:hint="eastAsia"/>
          <w:color w:val="000000" w:themeColor="text1"/>
        </w:rPr>
        <w:t>过程，测量不确定度评定正确。祥见附件《测量不确定度评定》</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c)有效性确认：查</w:t>
      </w:r>
      <w:r>
        <w:rPr>
          <w:rFonts w:hint="eastAsia" w:ascii="Times New Roman" w:hAnsi="Times New Roman" w:cs="Times New Roman"/>
          <w:color w:val="000000" w:themeColor="text1"/>
        </w:rPr>
        <w:t>倒挡滑动齿套硬度</w:t>
      </w:r>
      <w:r>
        <w:rPr>
          <w:rFonts w:hint="eastAsia" w:ascii="Times New Roman" w:hAnsi="Times New Roman" w:cs="Times New Roman"/>
          <w:color w:val="000000" w:themeColor="text1"/>
          <w:lang w:val="en-US" w:eastAsia="zh-CN"/>
        </w:rPr>
        <w:t>测量</w:t>
      </w:r>
      <w:r>
        <w:rPr>
          <w:rFonts w:hint="eastAsia"/>
          <w:color w:val="000000" w:themeColor="text1"/>
        </w:rPr>
        <w:t>过程，采用</w:t>
      </w:r>
      <w:r>
        <w:rPr>
          <w:rFonts w:hint="eastAsia"/>
          <w:color w:val="000000" w:themeColor="text1"/>
          <w:lang w:eastAsia="zh-CN"/>
        </w:rPr>
        <w:t>标准物质</w:t>
      </w:r>
      <w:r>
        <w:rPr>
          <w:rFonts w:hint="eastAsia"/>
          <w:color w:val="000000" w:themeColor="text1"/>
        </w:rPr>
        <w:t>计量比对</w:t>
      </w:r>
      <w:r>
        <w:rPr>
          <w:rFonts w:hint="eastAsia"/>
          <w:color w:val="000000" w:themeColor="text1"/>
          <w:lang w:eastAsia="zh-CN"/>
        </w:rPr>
        <w:t>法</w:t>
      </w:r>
      <w:r>
        <w:rPr>
          <w:rFonts w:hint="eastAsia"/>
          <w:color w:val="000000" w:themeColor="text1"/>
        </w:rPr>
        <w:t>进行有效性确认，满足要求。祥见附件《测量过程有效性确认》</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d)</w:t>
      </w:r>
      <w:r>
        <w:rPr>
          <w:rFonts w:cs="宋体" w:asciiTheme="minorEastAsia" w:hAnsiTheme="minorEastAsia"/>
          <w:color w:val="000000" w:themeColor="text1"/>
          <w:kern w:val="0"/>
          <w:szCs w:val="21"/>
        </w:rPr>
        <w:t>测量过程的控制</w:t>
      </w:r>
      <w:r>
        <w:rPr>
          <w:rFonts w:hint="eastAsia" w:cs="宋体" w:asciiTheme="minorEastAsia" w:hAnsiTheme="minorEastAsia"/>
          <w:color w:val="000000" w:themeColor="text1"/>
          <w:kern w:val="0"/>
          <w:szCs w:val="21"/>
        </w:rPr>
        <w:t>：查</w:t>
      </w:r>
      <w:r>
        <w:rPr>
          <w:rFonts w:hint="eastAsia" w:ascii="Times New Roman" w:hAnsi="Times New Roman" w:cs="Times New Roman"/>
          <w:color w:val="000000" w:themeColor="text1"/>
        </w:rPr>
        <w:t>倒挡滑动齿套硬度</w:t>
      </w:r>
      <w:r>
        <w:rPr>
          <w:rFonts w:hint="eastAsia" w:ascii="Times New Roman" w:hAnsi="Times New Roman" w:cs="Times New Roman"/>
          <w:color w:val="000000" w:themeColor="text1"/>
          <w:lang w:val="en-US" w:eastAsia="zh-CN"/>
        </w:rPr>
        <w:t>测量</w:t>
      </w:r>
      <w:r>
        <w:rPr>
          <w:rFonts w:hint="eastAsia"/>
          <w:color w:val="000000" w:themeColor="text1"/>
        </w:rPr>
        <w:t>过程，编制了控制规范，对测量人员、测量设备、测量环境进行控制，满足要求。</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e)</w:t>
      </w:r>
      <w:r>
        <w:rPr>
          <w:rFonts w:cs="宋体" w:asciiTheme="minorEastAsia" w:hAnsiTheme="minorEastAsia"/>
          <w:color w:val="000000" w:themeColor="text1"/>
          <w:kern w:val="0"/>
          <w:szCs w:val="21"/>
        </w:rPr>
        <w:t>测量过程的监视</w:t>
      </w:r>
      <w:r>
        <w:rPr>
          <w:rFonts w:hint="eastAsia" w:cs="宋体" w:asciiTheme="minorEastAsia" w:hAnsiTheme="minorEastAsia"/>
          <w:color w:val="000000" w:themeColor="text1"/>
          <w:kern w:val="0"/>
          <w:szCs w:val="21"/>
        </w:rPr>
        <w:t>：查</w:t>
      </w:r>
      <w:r>
        <w:rPr>
          <w:rFonts w:hint="eastAsia" w:ascii="Times New Roman" w:hAnsi="Times New Roman" w:cs="Times New Roman"/>
          <w:color w:val="000000" w:themeColor="text1"/>
        </w:rPr>
        <w:t>倒挡滑动齿套硬度</w:t>
      </w:r>
      <w:r>
        <w:rPr>
          <w:rFonts w:hint="eastAsia" w:ascii="Times New Roman" w:hAnsi="Times New Roman" w:cs="Times New Roman"/>
          <w:color w:val="000000" w:themeColor="text1"/>
          <w:lang w:val="en-US" w:eastAsia="zh-CN"/>
        </w:rPr>
        <w:t>测量</w:t>
      </w:r>
      <w:r>
        <w:rPr>
          <w:rFonts w:hint="eastAsia"/>
          <w:color w:val="000000" w:themeColor="text1"/>
        </w:rPr>
        <w:t>过程程，</w:t>
      </w:r>
      <w:r>
        <w:rPr>
          <w:rFonts w:hint="eastAsia" w:cs="宋体" w:asciiTheme="minorEastAsia" w:hAnsiTheme="minorEastAsia"/>
          <w:color w:val="000000" w:themeColor="text1"/>
          <w:kern w:val="0"/>
          <w:szCs w:val="21"/>
        </w:rPr>
        <w:t>采用统计技术进行控制和监视测量过程。祥见《测量过程监视记录》</w:t>
      </w:r>
    </w:p>
    <w:p>
      <w:pPr>
        <w:spacing w:line="360" w:lineRule="auto"/>
        <w:rPr>
          <w:rFonts w:hint="eastAsia"/>
          <w:color w:val="000000" w:themeColor="text1"/>
          <w:szCs w:val="21"/>
        </w:rPr>
      </w:pPr>
      <w:r>
        <w:rPr>
          <w:rFonts w:hint="eastAsia" w:cs="宋体" w:asciiTheme="minorEastAsia" w:hAnsiTheme="minorEastAsia"/>
          <w:color w:val="000000" w:themeColor="text1"/>
          <w:kern w:val="0"/>
          <w:szCs w:val="21"/>
        </w:rPr>
        <w:t>f)测量设备的溯源：</w:t>
      </w:r>
    </w:p>
    <w:p>
      <w:pPr>
        <w:widowControl/>
        <w:spacing w:line="360" w:lineRule="auto"/>
        <w:rPr>
          <w:rFonts w:hint="eastAsia" w:eastAsiaTheme="minorEastAsia"/>
          <w:color w:val="000000" w:themeColor="text1"/>
          <w:szCs w:val="21"/>
          <w:lang w:eastAsia="zh-CN"/>
        </w:rPr>
      </w:pPr>
      <w:r>
        <w:rPr>
          <w:rFonts w:hint="eastAsia"/>
          <w:color w:val="000000" w:themeColor="text1"/>
          <w:szCs w:val="21"/>
        </w:rPr>
        <w:t>公司</w:t>
      </w:r>
      <w:r>
        <w:rPr>
          <w:rFonts w:hint="eastAsia"/>
          <w:color w:val="000000" w:themeColor="text1"/>
          <w:szCs w:val="21"/>
          <w:lang w:val="en-US" w:eastAsia="zh-CN"/>
        </w:rPr>
        <w:t>未建立建立</w:t>
      </w:r>
      <w:r>
        <w:rPr>
          <w:rFonts w:hint="eastAsia"/>
          <w:color w:val="000000" w:themeColor="text1"/>
          <w:szCs w:val="21"/>
        </w:rPr>
        <w:t>标准，测量设备全部送至</w:t>
      </w:r>
      <w:r>
        <w:rPr>
          <w:rFonts w:hint="eastAsia"/>
          <w:color w:val="000000" w:themeColor="text1"/>
          <w:szCs w:val="21"/>
          <w:lang w:val="en-US" w:eastAsia="zh-CN"/>
        </w:rPr>
        <w:t>东莞市帝恩检测有限公司</w:t>
      </w:r>
      <w:r>
        <w:rPr>
          <w:rFonts w:hint="eastAsia"/>
          <w:color w:val="000000" w:themeColor="text1"/>
          <w:szCs w:val="21"/>
        </w:rPr>
        <w:t>校准，抽查</w:t>
      </w:r>
      <w:r>
        <w:rPr>
          <w:rFonts w:hint="eastAsia"/>
          <w:color w:val="000000" w:themeColor="text1"/>
          <w:szCs w:val="21"/>
          <w:lang w:val="en-US" w:eastAsia="zh-CN"/>
        </w:rPr>
        <w:t>8</w:t>
      </w:r>
      <w:r>
        <w:rPr>
          <w:rFonts w:hint="eastAsia"/>
          <w:color w:val="000000" w:themeColor="text1"/>
          <w:szCs w:val="21"/>
        </w:rPr>
        <w:t>台件测量设备，符合量值溯源性管理的要求</w:t>
      </w:r>
      <w:r>
        <w:rPr>
          <w:rFonts w:hint="eastAsia"/>
          <w:color w:val="000000" w:themeColor="text1"/>
          <w:szCs w:val="21"/>
          <w:lang w:eastAsia="zh-CN"/>
        </w:rPr>
        <w:t>，</w:t>
      </w:r>
      <w:r>
        <w:rPr>
          <w:rFonts w:hint="eastAsia"/>
          <w:color w:val="000000" w:themeColor="text1"/>
          <w:szCs w:val="21"/>
        </w:rPr>
        <w:t>祥见《测量设备溯源检查表》</w:t>
      </w:r>
      <w:r>
        <w:rPr>
          <w:rFonts w:hint="eastAsia"/>
          <w:color w:val="000000" w:themeColor="text1"/>
          <w:szCs w:val="21"/>
          <w:lang w:eastAsia="zh-CN"/>
        </w:rPr>
        <w:t>。</w:t>
      </w:r>
    </w:p>
    <w:p>
      <w:pPr>
        <w:widowControl/>
        <w:spacing w:line="360" w:lineRule="auto"/>
        <w:rPr>
          <w:color w:val="000000" w:themeColor="text1"/>
          <w:szCs w:val="21"/>
        </w:rPr>
      </w:pPr>
      <w:r>
        <w:rPr>
          <w:rFonts w:hint="eastAsia"/>
          <w:color w:val="000000" w:themeColor="text1"/>
          <w:szCs w:val="21"/>
        </w:rPr>
        <w:t>4.能源管理情况：</w:t>
      </w:r>
    </w:p>
    <w:p>
      <w:pPr>
        <w:widowControl/>
        <w:spacing w:line="360" w:lineRule="auto"/>
        <w:ind w:firstLine="420" w:firstLineChars="200"/>
        <w:rPr>
          <w:rFonts w:ascii="宋体" w:hAnsi="宋体" w:eastAsia="宋体"/>
          <w:bCs/>
          <w:color w:val="000000" w:themeColor="text1"/>
          <w:szCs w:val="21"/>
        </w:rPr>
      </w:pPr>
      <w:r>
        <w:rPr>
          <w:rFonts w:hint="eastAsia" w:ascii="宋体" w:hAnsi="宋体" w:eastAsia="宋体"/>
          <w:bCs/>
          <w:color w:val="000000" w:themeColor="text1"/>
          <w:szCs w:val="21"/>
          <w:lang w:val="en-US" w:eastAsia="zh-CN"/>
        </w:rPr>
        <w:t>企业2021年耗能450吨</w:t>
      </w:r>
      <w:r>
        <w:rPr>
          <w:rFonts w:hint="eastAsia"/>
          <w:color w:val="000000" w:themeColor="text1"/>
          <w:szCs w:val="21"/>
          <w:lang w:val="en-US" w:eastAsia="zh-CN"/>
        </w:rPr>
        <w:t>标准煤</w:t>
      </w:r>
      <w:r>
        <w:rPr>
          <w:rFonts w:hint="eastAsia"/>
          <w:color w:val="000000" w:themeColor="text1"/>
          <w:szCs w:val="21"/>
        </w:rPr>
        <w:t>。</w:t>
      </w:r>
      <w:r>
        <w:rPr>
          <w:rFonts w:hint="eastAsia"/>
          <w:color w:val="000000" w:themeColor="text1"/>
          <w:szCs w:val="21"/>
          <w:lang w:val="en-US" w:eastAsia="zh-CN"/>
        </w:rPr>
        <w:t>不</w:t>
      </w:r>
      <w:r>
        <w:rPr>
          <w:rFonts w:hint="eastAsia"/>
          <w:color w:val="000000" w:themeColor="text1"/>
          <w:szCs w:val="21"/>
        </w:rPr>
        <w:t>是重点耗能</w:t>
      </w:r>
      <w:r>
        <w:rPr>
          <w:rFonts w:hint="eastAsia" w:ascii="宋体" w:hAnsi="宋体" w:eastAsia="宋体"/>
          <w:bCs/>
          <w:color w:val="000000" w:themeColor="text1"/>
          <w:szCs w:val="21"/>
        </w:rPr>
        <w:t>单位，企业能源测量设备</w:t>
      </w:r>
      <w:r>
        <w:rPr>
          <w:rFonts w:hint="eastAsia" w:ascii="宋体" w:hAnsi="宋体" w:eastAsia="宋体"/>
          <w:bCs/>
          <w:color w:val="000000" w:themeColor="text1"/>
          <w:szCs w:val="21"/>
          <w:lang w:val="en-US" w:eastAsia="zh-CN"/>
        </w:rPr>
        <w:t>列入计量器具台账</w:t>
      </w:r>
      <w:r>
        <w:rPr>
          <w:rFonts w:hint="eastAsia" w:ascii="宋体" w:hAnsi="宋体" w:eastAsia="宋体"/>
          <w:bCs/>
          <w:color w:val="000000" w:themeColor="text1"/>
          <w:szCs w:val="21"/>
        </w:rPr>
        <w:t>，能源测量设备配备率满足要求。能源计量管理满足GB17167要求。</w:t>
      </w:r>
    </w:p>
    <w:p>
      <w:pPr>
        <w:widowControl/>
        <w:spacing w:line="360" w:lineRule="auto"/>
        <w:rPr>
          <w:rFonts w:cs="宋体" w:asciiTheme="minorEastAsia" w:hAnsiTheme="minorEastAsia"/>
          <w:color w:val="000000" w:themeColor="text1"/>
          <w:kern w:val="0"/>
          <w:szCs w:val="21"/>
        </w:rPr>
      </w:pPr>
      <w:r>
        <w:rPr>
          <w:rFonts w:hint="eastAsia" w:asciiTheme="minorEastAsia" w:hAnsiTheme="minorEastAsia"/>
          <w:bCs/>
          <w:color w:val="000000" w:themeColor="text1"/>
          <w:szCs w:val="21"/>
        </w:rPr>
        <w:t>5.对认证审核时提出的的不符合项的纠正措施情况有表述</w:t>
      </w:r>
      <w:r>
        <w:rPr>
          <w:rFonts w:cs="宋体" w:asciiTheme="minorEastAsia" w:hAnsiTheme="minorEastAsia"/>
          <w:bCs/>
          <w:color w:val="000000" w:themeColor="text1"/>
          <w:kern w:val="0"/>
          <w:szCs w:val="21"/>
        </w:rPr>
        <w:t>：</w:t>
      </w:r>
      <w:r>
        <w:rPr>
          <w:rFonts w:cs="宋体" w:asciiTheme="minorEastAsia" w:hAnsiTheme="minorEastAsia"/>
          <w:color w:val="000000" w:themeColor="text1"/>
          <w:kern w:val="0"/>
          <w:szCs w:val="21"/>
        </w:rPr>
        <w:t> </w:t>
      </w:r>
    </w:p>
    <w:p>
      <w:pPr>
        <w:widowControl/>
        <w:spacing w:line="360" w:lineRule="auto"/>
        <w:ind w:firstLine="420" w:firstLineChars="200"/>
        <w:jc w:val="left"/>
        <w:rPr>
          <w:rFonts w:hint="eastAsia" w:ascii="宋体" w:hAnsi="宋体" w:cs="宋体"/>
          <w:color w:val="000000" w:themeColor="text1"/>
          <w:kern w:val="0"/>
          <w:sz w:val="20"/>
          <w:lang w:val="en-US" w:eastAsia="zh-CN" w:bidi="ar"/>
        </w:rPr>
      </w:pPr>
      <w:r>
        <w:rPr>
          <w:rFonts w:hint="eastAsia" w:ascii="宋体" w:hAnsi="宋体" w:cs="宋体"/>
          <w:color w:val="000000" w:themeColor="text1"/>
          <w:kern w:val="0"/>
          <w:szCs w:val="21"/>
        </w:rPr>
        <w:t>202</w:t>
      </w:r>
      <w:r>
        <w:rPr>
          <w:rFonts w:hint="eastAsia" w:ascii="宋体" w:hAnsi="宋体" w:cs="宋体"/>
          <w:color w:val="000000" w:themeColor="text1"/>
          <w:kern w:val="0"/>
          <w:szCs w:val="21"/>
          <w:lang w:eastAsia="zh-CN"/>
        </w:rPr>
        <w:t>1</w:t>
      </w:r>
      <w:r>
        <w:rPr>
          <w:rFonts w:hint="eastAsia" w:ascii="宋体" w:hAnsi="宋体" w:cs="宋体"/>
          <w:color w:val="000000" w:themeColor="text1"/>
          <w:kern w:val="0"/>
          <w:szCs w:val="21"/>
        </w:rPr>
        <w:t>年</w:t>
      </w:r>
      <w:r>
        <w:rPr>
          <w:rFonts w:hint="eastAsia" w:ascii="宋体" w:hAnsi="宋体" w:cs="宋体"/>
          <w:color w:val="000000" w:themeColor="text1"/>
          <w:kern w:val="0"/>
          <w:szCs w:val="21"/>
          <w:lang w:val="en-US" w:eastAsia="zh-CN"/>
        </w:rPr>
        <w:t>监督审核未</w:t>
      </w:r>
      <w:r>
        <w:rPr>
          <w:rFonts w:hint="eastAsia" w:ascii="宋体" w:hAnsi="宋体" w:cs="宋体"/>
          <w:color w:val="000000" w:themeColor="text1"/>
          <w:kern w:val="0"/>
          <w:szCs w:val="21"/>
        </w:rPr>
        <w:t>开</w:t>
      </w:r>
      <w:r>
        <w:rPr>
          <w:rFonts w:hint="eastAsia" w:ascii="宋体" w:hAnsi="宋体" w:cs="宋体"/>
          <w:color w:val="000000" w:themeColor="text1"/>
          <w:kern w:val="0"/>
          <w:szCs w:val="21"/>
          <w:lang w:eastAsia="zh-CN"/>
        </w:rPr>
        <w:t>不符合项，</w:t>
      </w:r>
      <w:r>
        <w:rPr>
          <w:rFonts w:hint="eastAsia" w:ascii="宋体"/>
          <w:color w:val="000000" w:themeColor="text1"/>
        </w:rPr>
        <w:t>技术质量</w:t>
      </w:r>
      <w:r>
        <w:rPr>
          <w:rFonts w:hint="eastAsia" w:ascii="宋体"/>
          <w:color w:val="000000" w:themeColor="text1"/>
          <w:lang w:val="en-US" w:eastAsia="zh-CN"/>
        </w:rPr>
        <w:t>部对</w:t>
      </w:r>
      <w:r>
        <w:rPr>
          <w:rFonts w:hint="eastAsia" w:ascii="宋体" w:hAnsi="宋体" w:cs="宋体"/>
          <w:color w:val="000000" w:themeColor="text1"/>
          <w:kern w:val="0"/>
          <w:szCs w:val="21"/>
          <w:lang w:eastAsia="zh-CN"/>
        </w:rPr>
        <w:t>内审时的不符合进行了整改</w:t>
      </w:r>
      <w:r>
        <w:rPr>
          <w:rFonts w:hint="eastAsia" w:ascii="宋体" w:hAnsi="宋体" w:cs="宋体"/>
          <w:color w:val="000000" w:themeColor="text1"/>
          <w:kern w:val="0"/>
          <w:sz w:val="20"/>
          <w:lang w:val="en-US" w:eastAsia="zh-CN" w:bidi="ar"/>
        </w:rPr>
        <w:t>，经验证不符合项纠正措施有效，已经关闭。</w:t>
      </w:r>
    </w:p>
    <w:p>
      <w:pPr>
        <w:widowControl/>
        <w:numPr>
          <w:ilvl w:val="0"/>
          <w:numId w:val="1"/>
        </w:numPr>
        <w:spacing w:line="360" w:lineRule="auto"/>
        <w:rPr>
          <w:rFonts w:cs="宋体" w:asciiTheme="minorEastAsia" w:hAnsiTheme="minorEastAsia"/>
          <w:bCs/>
          <w:color w:val="000000" w:themeColor="text1"/>
          <w:kern w:val="0"/>
          <w:szCs w:val="21"/>
        </w:rPr>
      </w:pPr>
      <w:r>
        <w:rPr>
          <w:rFonts w:hint="eastAsia" w:cs="宋体" w:asciiTheme="minorEastAsia" w:hAnsiTheme="minorEastAsia"/>
          <w:color w:val="000000" w:themeColor="text1"/>
          <w:kern w:val="0"/>
          <w:szCs w:val="21"/>
        </w:rPr>
        <w:t>对</w:t>
      </w:r>
      <w:r>
        <w:rPr>
          <w:rFonts w:hint="eastAsia" w:asciiTheme="minorEastAsia" w:hAnsiTheme="minorEastAsia"/>
          <w:bCs/>
          <w:color w:val="000000" w:themeColor="text1"/>
          <w:szCs w:val="21"/>
        </w:rPr>
        <w:t>投诉的处理</w:t>
      </w:r>
      <w:r>
        <w:rPr>
          <w:rFonts w:cs="宋体" w:asciiTheme="minorEastAsia" w:hAnsiTheme="minorEastAsia"/>
          <w:bCs/>
          <w:color w:val="000000" w:themeColor="text1"/>
          <w:kern w:val="0"/>
          <w:szCs w:val="21"/>
        </w:rPr>
        <w:t>情况：</w:t>
      </w:r>
    </w:p>
    <w:p>
      <w:pPr>
        <w:widowControl/>
        <w:spacing w:line="360" w:lineRule="auto"/>
        <w:ind w:firstLine="420" w:firstLineChars="200"/>
        <w:rPr>
          <w:rFonts w:ascii="宋体" w:hAnsi="宋体" w:cs="宋体"/>
          <w:bCs/>
          <w:color w:val="000000" w:themeColor="text1"/>
          <w:kern w:val="0"/>
          <w:szCs w:val="21"/>
        </w:rPr>
      </w:pPr>
      <w:r>
        <w:rPr>
          <w:rFonts w:hint="eastAsia" w:cs="宋体" w:asciiTheme="minorEastAsia" w:hAnsiTheme="minorEastAsia"/>
          <w:bCs/>
          <w:color w:val="000000" w:themeColor="text1"/>
          <w:kern w:val="0"/>
          <w:szCs w:val="21"/>
        </w:rPr>
        <w:t>企业202</w:t>
      </w:r>
      <w:r>
        <w:rPr>
          <w:rFonts w:hint="eastAsia" w:cs="宋体" w:asciiTheme="minorEastAsia" w:hAnsiTheme="minorEastAsia"/>
          <w:bCs/>
          <w:color w:val="000000" w:themeColor="text1"/>
          <w:kern w:val="0"/>
          <w:szCs w:val="21"/>
          <w:lang w:eastAsia="zh-CN"/>
        </w:rPr>
        <w:t>1</w:t>
      </w:r>
      <w:r>
        <w:rPr>
          <w:rFonts w:hint="eastAsia" w:cs="宋体" w:asciiTheme="minorEastAsia" w:hAnsiTheme="minorEastAsia"/>
          <w:bCs/>
          <w:color w:val="000000" w:themeColor="text1"/>
          <w:kern w:val="0"/>
          <w:szCs w:val="21"/>
        </w:rPr>
        <w:t>年有未有顾客的投诉。</w:t>
      </w:r>
      <w:r>
        <w:rPr>
          <w:rFonts w:hint="eastAsia"/>
          <w:bCs/>
          <w:color w:val="000000" w:themeColor="text1"/>
          <w:szCs w:val="21"/>
        </w:rPr>
        <w:t>企业未有</w:t>
      </w:r>
      <w:r>
        <w:rPr>
          <w:rFonts w:ascii="宋体" w:hAnsi="宋体" w:cs="宋体"/>
          <w:bCs/>
          <w:color w:val="000000" w:themeColor="text1"/>
          <w:kern w:val="0"/>
          <w:szCs w:val="21"/>
        </w:rPr>
        <w:t>违反法律</w:t>
      </w:r>
      <w:r>
        <w:rPr>
          <w:rFonts w:hint="eastAsia" w:ascii="宋体" w:hAnsi="宋体" w:cs="宋体"/>
          <w:bCs/>
          <w:color w:val="000000" w:themeColor="text1"/>
          <w:kern w:val="0"/>
          <w:szCs w:val="21"/>
        </w:rPr>
        <w:t>、</w:t>
      </w:r>
      <w:r>
        <w:rPr>
          <w:rFonts w:ascii="宋体" w:hAnsi="宋体" w:cs="宋体"/>
          <w:bCs/>
          <w:color w:val="000000" w:themeColor="text1"/>
          <w:kern w:val="0"/>
          <w:szCs w:val="21"/>
        </w:rPr>
        <w:t>法规</w:t>
      </w:r>
      <w:r>
        <w:rPr>
          <w:rFonts w:hint="eastAsia" w:ascii="宋体" w:hAnsi="宋体" w:cs="宋体"/>
          <w:bCs/>
          <w:color w:val="000000" w:themeColor="text1"/>
          <w:kern w:val="0"/>
          <w:szCs w:val="21"/>
        </w:rPr>
        <w:t>问题和产品质量问题的投诉或</w:t>
      </w:r>
      <w:r>
        <w:rPr>
          <w:rFonts w:ascii="宋体" w:hAnsi="宋体" w:cs="宋体"/>
          <w:bCs/>
          <w:color w:val="000000" w:themeColor="text1"/>
          <w:kern w:val="0"/>
          <w:szCs w:val="21"/>
        </w:rPr>
        <w:t>重大</w:t>
      </w:r>
      <w:r>
        <w:rPr>
          <w:rFonts w:hint="eastAsia" w:ascii="宋体" w:hAnsi="宋体" w:cs="宋体"/>
          <w:bCs/>
          <w:color w:val="000000" w:themeColor="text1"/>
          <w:kern w:val="0"/>
          <w:szCs w:val="21"/>
        </w:rPr>
        <w:t>质量</w:t>
      </w:r>
      <w:r>
        <w:rPr>
          <w:rFonts w:ascii="宋体" w:hAnsi="宋体" w:cs="宋体"/>
          <w:bCs/>
          <w:color w:val="000000" w:themeColor="text1"/>
          <w:kern w:val="0"/>
          <w:szCs w:val="21"/>
        </w:rPr>
        <w:t>事故</w:t>
      </w:r>
      <w:r>
        <w:rPr>
          <w:rFonts w:hint="eastAsia" w:ascii="宋体" w:hAnsi="宋体" w:cs="宋体"/>
          <w:bCs/>
          <w:color w:val="000000" w:themeColor="text1"/>
          <w:kern w:val="0"/>
          <w:szCs w:val="21"/>
        </w:rPr>
        <w:t>发生。</w:t>
      </w:r>
    </w:p>
    <w:p>
      <w:pPr>
        <w:widowControl/>
        <w:numPr>
          <w:ilvl w:val="0"/>
          <w:numId w:val="1"/>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spacing w:line="360" w:lineRule="auto"/>
        <w:ind w:firstLine="420" w:firstLineChars="200"/>
        <w:rPr>
          <w:rFonts w:cs="宋体" w:asciiTheme="minorEastAsia" w:hAnsiTheme="minorEastAsia"/>
          <w:bCs/>
          <w:color w:val="000000" w:themeColor="text1"/>
          <w:kern w:val="0"/>
          <w:szCs w:val="21"/>
        </w:rPr>
      </w:pPr>
      <w:r>
        <w:rPr>
          <w:rFonts w:hint="eastAsia" w:ascii="宋体" w:hAnsi="宋体" w:eastAsia="宋体"/>
          <w:bCs/>
          <w:color w:val="000000" w:themeColor="text1"/>
          <w:szCs w:val="21"/>
        </w:rPr>
        <w:t>公司制定了</w:t>
      </w:r>
      <w:r>
        <w:rPr>
          <w:rFonts w:hint="eastAsia" w:ascii="宋体" w:hAnsi="宋体" w:eastAsia="宋体"/>
          <w:bCs/>
          <w:color w:val="000000" w:themeColor="text1"/>
          <w:szCs w:val="21"/>
          <w:lang w:eastAsia="zh-CN"/>
        </w:rPr>
        <w:t>5</w:t>
      </w:r>
      <w:r>
        <w:rPr>
          <w:rFonts w:hint="eastAsia" w:ascii="宋体" w:hAnsi="宋体" w:eastAsia="宋体"/>
          <w:bCs/>
          <w:color w:val="000000" w:themeColor="text1"/>
          <w:szCs w:val="21"/>
        </w:rPr>
        <w:t>项质量目标，对目标进行了分解，查2</w:t>
      </w:r>
      <w:r>
        <w:rPr>
          <w:rFonts w:hint="eastAsia" w:ascii="宋体" w:hAnsi="宋体" w:eastAsia="宋体"/>
          <w:bCs/>
          <w:color w:val="000000" w:themeColor="text1"/>
          <w:szCs w:val="21"/>
          <w:lang w:eastAsia="zh-CN"/>
        </w:rPr>
        <w:t>022</w:t>
      </w:r>
      <w:r>
        <w:rPr>
          <w:rFonts w:hint="eastAsia" w:ascii="宋体" w:hAnsi="宋体" w:eastAsia="宋体"/>
          <w:bCs/>
          <w:color w:val="000000" w:themeColor="text1"/>
          <w:szCs w:val="21"/>
        </w:rPr>
        <w:t>年1月到</w:t>
      </w:r>
      <w:r>
        <w:rPr>
          <w:rFonts w:hint="eastAsia" w:ascii="宋体" w:hAnsi="宋体" w:eastAsia="宋体"/>
          <w:bCs/>
          <w:color w:val="000000" w:themeColor="text1"/>
          <w:szCs w:val="21"/>
          <w:lang w:eastAsia="zh-CN"/>
        </w:rPr>
        <w:t>8</w:t>
      </w:r>
      <w:r>
        <w:rPr>
          <w:rFonts w:hint="eastAsia" w:ascii="宋体" w:hAnsi="宋体" w:eastAsia="宋体"/>
          <w:bCs/>
          <w:color w:val="000000" w:themeColor="text1"/>
          <w:szCs w:val="21"/>
        </w:rPr>
        <w:t>月质量目标完成情况检查表，按目标、措施、完成情况、未完成情况进行统计，记录内容全，每月统计，质量目标管理满足要求。</w:t>
      </w:r>
    </w:p>
    <w:p>
      <w:pPr>
        <w:widowControl/>
        <w:numPr>
          <w:ilvl w:val="0"/>
          <w:numId w:val="1"/>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对企业组织任何变更的审核</w:t>
      </w:r>
    </w:p>
    <w:p>
      <w:pPr>
        <w:widowControl/>
        <w:spacing w:line="360" w:lineRule="auto"/>
        <w:ind w:firstLine="420" w:firstLineChars="200"/>
        <w:rPr>
          <w:rFonts w:asciiTheme="minorEastAsia" w:hAnsiTheme="minorEastAsia"/>
          <w:bCs/>
          <w:color w:val="000000" w:themeColor="text1"/>
          <w:szCs w:val="21"/>
        </w:rPr>
      </w:pPr>
      <w:r>
        <w:rPr>
          <w:rFonts w:hint="eastAsia" w:asciiTheme="minorEastAsia" w:hAnsiTheme="minorEastAsia"/>
          <w:bCs/>
          <w:color w:val="000000" w:themeColor="text1"/>
          <w:szCs w:val="21"/>
        </w:rPr>
        <w:t>企业营业执照和组织机构未发生变化。</w:t>
      </w:r>
    </w:p>
    <w:p>
      <w:pPr>
        <w:widowControl/>
        <w:numPr>
          <w:ilvl w:val="0"/>
          <w:numId w:val="1"/>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标志的使用和（或）任何其他对认证资</w:t>
      </w:r>
      <w:r>
        <w:rPr>
          <w:rFonts w:hint="eastAsia"/>
          <w:bCs/>
          <w:color w:val="000000" w:themeColor="text1"/>
        </w:rPr>
        <w:t>格引用</w:t>
      </w:r>
      <w:r>
        <w:rPr>
          <w:rFonts w:cs="宋体" w:asciiTheme="minorEastAsia" w:hAnsiTheme="minorEastAsia"/>
          <w:bCs/>
          <w:color w:val="000000" w:themeColor="text1"/>
          <w:kern w:val="0"/>
          <w:szCs w:val="21"/>
        </w:rPr>
        <w:t>的情况：</w:t>
      </w:r>
    </w:p>
    <w:p>
      <w:pPr>
        <w:widowControl/>
        <w:spacing w:line="360" w:lineRule="auto"/>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 xml:space="preserve"> </w:t>
      </w:r>
      <w:r>
        <w:rPr>
          <w:rFonts w:hint="eastAsia" w:cs="宋体" w:asciiTheme="minorEastAsia" w:hAnsiTheme="minorEastAsia"/>
          <w:bCs/>
          <w:color w:val="000000" w:themeColor="text1"/>
          <w:kern w:val="0"/>
          <w:szCs w:val="21"/>
          <w:lang w:eastAsia="zh-CN"/>
        </w:rPr>
        <w:t xml:space="preserve">  </w:t>
      </w:r>
      <w:r>
        <w:rPr>
          <w:rFonts w:hint="eastAsia" w:cs="宋体" w:asciiTheme="minorEastAsia" w:hAnsiTheme="minorEastAsia"/>
          <w:bCs/>
          <w:color w:val="000000" w:themeColor="text1"/>
          <w:kern w:val="0"/>
          <w:szCs w:val="21"/>
        </w:rPr>
        <w:t>用于企业的形象宣传。</w:t>
      </w:r>
    </w:p>
    <w:p>
      <w:pPr>
        <w:widowControl/>
        <w:spacing w:line="360" w:lineRule="auto"/>
        <w:rPr>
          <w:rFonts w:hint="eastAsia" w:ascii="宋体" w:hAnsi="宋体" w:eastAsia="宋体" w:cs="宋体"/>
          <w:bCs/>
          <w:color w:val="000000" w:themeColor="text1"/>
          <w:kern w:val="0"/>
          <w:sz w:val="21"/>
          <w:szCs w:val="21"/>
          <w:lang w:val="en-US" w:eastAsia="zh-CN"/>
        </w:rPr>
      </w:pPr>
      <w:r>
        <w:rPr>
          <w:rFonts w:hint="eastAsia" w:ascii="宋体" w:hAnsi="宋体" w:eastAsia="宋体" w:cs="宋体"/>
          <w:bCs/>
          <w:color w:val="000000" w:themeColor="text1"/>
          <w:kern w:val="0"/>
          <w:sz w:val="21"/>
          <w:szCs w:val="21"/>
          <w:lang w:val="en-US" w:eastAsia="zh-CN"/>
        </w:rPr>
        <w:t>10.本次监督审核未出具一般不符合，未发现严重的或系统性的不符合情况：</w:t>
      </w:r>
    </w:p>
    <w:p>
      <w:pPr>
        <w:widowControl/>
        <w:spacing w:line="360" w:lineRule="auto"/>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kern w:val="0"/>
          <w:sz w:val="21"/>
          <w:szCs w:val="21"/>
          <w:lang w:val="en-US" w:eastAsia="zh-CN"/>
        </w:rPr>
        <w:t>11.</w:t>
      </w:r>
      <w:r>
        <w:rPr>
          <w:rFonts w:hint="eastAsia" w:ascii="宋体" w:hAnsi="宋体" w:eastAsia="宋体" w:cs="宋体"/>
          <w:bCs/>
          <w:color w:val="000000" w:themeColor="text1"/>
          <w:sz w:val="21"/>
          <w:szCs w:val="21"/>
        </w:rPr>
        <w:t>产品的销售</w:t>
      </w:r>
      <w:r>
        <w:rPr>
          <w:rFonts w:hint="eastAsia" w:ascii="宋体" w:hAnsi="宋体" w:eastAsia="宋体" w:cs="宋体"/>
          <w:bCs/>
          <w:color w:val="000000" w:themeColor="text1"/>
          <w:sz w:val="21"/>
          <w:szCs w:val="21"/>
          <w:lang w:val="en-US" w:eastAsia="zh-CN"/>
        </w:rPr>
        <w:t>情况：</w:t>
      </w:r>
    </w:p>
    <w:p>
      <w:pPr>
        <w:widowControl/>
        <w:spacing w:line="360" w:lineRule="auto"/>
        <w:ind w:firstLine="420" w:firstLineChars="200"/>
        <w:rPr>
          <w:rFonts w:hint="eastAsia" w:ascii="宋体" w:hAnsi="宋体" w:cs="宋体"/>
          <w:bCs/>
          <w:color w:val="000000" w:themeColor="text1"/>
          <w:kern w:val="0"/>
          <w:szCs w:val="21"/>
        </w:rPr>
      </w:pPr>
      <w:bookmarkStart w:id="11" w:name="_GoBack"/>
      <w:r>
        <w:rPr>
          <w:rFonts w:hint="eastAsia" w:ascii="宋体" w:hAnsi="宋体" w:eastAsia="宋体" w:cs="宋体"/>
          <w:bCs/>
          <w:color w:val="000000" w:themeColor="text1"/>
          <w:sz w:val="21"/>
          <w:szCs w:val="21"/>
        </w:rPr>
        <w:t>抽查</w:t>
      </w:r>
      <w:r>
        <w:rPr>
          <w:rFonts w:hint="eastAsia" w:ascii="宋体" w:hAnsi="宋体" w:eastAsia="宋体" w:cs="宋体"/>
          <w:bCs/>
          <w:color w:val="000000" w:themeColor="text1"/>
          <w:sz w:val="21"/>
          <w:szCs w:val="21"/>
          <w:lang w:eastAsia="zh-CN"/>
        </w:rPr>
        <w:t>：</w:t>
      </w:r>
      <w:r>
        <w:rPr>
          <w:rFonts w:hint="eastAsia" w:ascii="宋体" w:hAnsi="宋体" w:eastAsia="宋体" w:cs="宋体"/>
          <w:bCs/>
          <w:color w:val="000000" w:themeColor="text1"/>
          <w:sz w:val="21"/>
          <w:szCs w:val="21"/>
        </w:rPr>
        <w:t>合同编号BFXS2022011</w:t>
      </w:r>
      <w:r>
        <w:rPr>
          <w:rFonts w:hint="eastAsia" w:ascii="宋体" w:hAnsi="宋体" w:eastAsia="宋体" w:cs="宋体"/>
          <w:bCs/>
          <w:color w:val="000000" w:themeColor="text1"/>
          <w:sz w:val="21"/>
          <w:szCs w:val="21"/>
          <w:lang w:eastAsia="zh-CN"/>
        </w:rPr>
        <w:t>，</w:t>
      </w:r>
      <w:r>
        <w:rPr>
          <w:rFonts w:hint="eastAsia" w:ascii="宋体" w:hAnsi="宋体" w:eastAsia="宋体" w:cs="宋体"/>
          <w:bCs/>
          <w:color w:val="000000" w:themeColor="text1"/>
          <w:sz w:val="21"/>
          <w:szCs w:val="21"/>
        </w:rPr>
        <w:t>签订时间2022年</w:t>
      </w:r>
      <w:r>
        <w:rPr>
          <w:rFonts w:hint="eastAsia" w:ascii="宋体" w:hAnsi="宋体" w:eastAsia="宋体" w:cs="宋体"/>
          <w:bCs/>
          <w:color w:val="000000" w:themeColor="text1"/>
          <w:sz w:val="21"/>
          <w:szCs w:val="21"/>
          <w:lang w:val="en-US" w:eastAsia="zh-CN"/>
        </w:rPr>
        <w:t>1</w:t>
      </w:r>
      <w:r>
        <w:rPr>
          <w:rFonts w:hint="eastAsia" w:ascii="宋体" w:hAnsi="宋体" w:eastAsia="宋体" w:cs="宋体"/>
          <w:bCs/>
          <w:color w:val="000000" w:themeColor="text1"/>
          <w:sz w:val="21"/>
          <w:szCs w:val="21"/>
        </w:rPr>
        <w:t>月</w:t>
      </w:r>
      <w:r>
        <w:rPr>
          <w:rFonts w:hint="eastAsia" w:ascii="宋体" w:hAnsi="宋体" w:eastAsia="宋体" w:cs="宋体"/>
          <w:bCs/>
          <w:color w:val="000000" w:themeColor="text1"/>
          <w:sz w:val="21"/>
          <w:szCs w:val="21"/>
          <w:lang w:val="en-US" w:eastAsia="zh-CN"/>
        </w:rPr>
        <w:t>1</w:t>
      </w:r>
      <w:r>
        <w:rPr>
          <w:rFonts w:hint="eastAsia" w:ascii="宋体" w:hAnsi="宋体" w:eastAsia="宋体" w:cs="宋体"/>
          <w:bCs/>
          <w:color w:val="000000" w:themeColor="text1"/>
          <w:sz w:val="21"/>
          <w:szCs w:val="21"/>
        </w:rPr>
        <w:t>日</w:t>
      </w:r>
      <w:r>
        <w:rPr>
          <w:rFonts w:hint="eastAsia" w:ascii="宋体" w:hAnsi="宋体" w:eastAsia="宋体" w:cs="宋体"/>
          <w:bCs/>
          <w:color w:val="000000" w:themeColor="text1"/>
          <w:sz w:val="21"/>
          <w:szCs w:val="21"/>
          <w:lang w:val="en-US" w:eastAsia="zh-CN"/>
        </w:rPr>
        <w:t>与</w:t>
      </w:r>
      <w:r>
        <w:rPr>
          <w:rFonts w:hint="eastAsia" w:ascii="宋体" w:hAnsi="宋体" w:eastAsia="宋体" w:cs="宋体"/>
          <w:bCs/>
          <w:color w:val="000000" w:themeColor="text1"/>
          <w:sz w:val="21"/>
          <w:szCs w:val="21"/>
        </w:rPr>
        <w:t>宝鸡法士特齿轮有限责任公司</w:t>
      </w:r>
      <w:r>
        <w:rPr>
          <w:rFonts w:hint="eastAsia" w:ascii="宋体" w:hAnsi="宋体" w:eastAsia="宋体" w:cs="宋体"/>
          <w:bCs/>
          <w:color w:val="000000" w:themeColor="text1"/>
          <w:sz w:val="21"/>
          <w:szCs w:val="21"/>
          <w:lang w:val="en-US" w:eastAsia="zh-CN"/>
        </w:rPr>
        <w:t>签订的</w:t>
      </w:r>
      <w:r>
        <w:rPr>
          <w:rFonts w:hint="eastAsia" w:ascii="宋体" w:hAnsi="宋体"/>
          <w:szCs w:val="21"/>
        </w:rPr>
        <w:t>汽车变速箱用轴、齿轮</w:t>
      </w:r>
      <w:r>
        <w:rPr>
          <w:rFonts w:hint="eastAsia" w:ascii="宋体" w:hAnsi="宋体" w:eastAsia="宋体" w:cs="宋体"/>
          <w:bCs/>
          <w:color w:val="000000" w:themeColor="text1"/>
          <w:sz w:val="21"/>
          <w:szCs w:val="21"/>
        </w:rPr>
        <w:t>产品的销售合同</w:t>
      </w:r>
      <w:r>
        <w:rPr>
          <w:rFonts w:hint="eastAsia" w:ascii="宋体" w:hAnsi="宋体" w:eastAsia="宋体" w:cs="宋体"/>
          <w:bCs/>
          <w:color w:val="000000" w:themeColor="text1"/>
          <w:sz w:val="21"/>
          <w:szCs w:val="21"/>
          <w:lang w:eastAsia="zh-CN"/>
        </w:rPr>
        <w:t>，</w:t>
      </w:r>
      <w:r>
        <w:rPr>
          <w:rFonts w:hint="eastAsia" w:ascii="宋体" w:hAnsi="宋体" w:eastAsia="宋体" w:cs="宋体"/>
          <w:bCs/>
          <w:color w:val="000000" w:themeColor="text1"/>
          <w:sz w:val="21"/>
          <w:szCs w:val="21"/>
        </w:rPr>
        <w:t>确认企业对应的产品生产过程涉及有对应的测量过程和测量设备，测量设备的配备可满足该合同产品的生产和检验要求。</w:t>
      </w:r>
    </w:p>
    <w:bookmarkEnd w:id="11"/>
    <w:p>
      <w:pPr>
        <w:snapToGrid w:val="0"/>
        <w:spacing w:line="360" w:lineRule="auto"/>
        <w:ind w:right="-512" w:rightChars="-244"/>
        <w:rPr>
          <w:rFonts w:ascii="宋体" w:hAnsi="宋体" w:eastAsia="宋体" w:cs="宋体"/>
          <w:color w:val="000000" w:themeColor="text1"/>
          <w:kern w:val="0"/>
          <w:szCs w:val="28"/>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三、</w:t>
      </w:r>
      <w:r>
        <w:rPr>
          <w:rFonts w:ascii="宋体" w:hAnsi="宋体" w:eastAsia="宋体" w:cs="宋体"/>
          <w:b/>
          <w:bCs/>
          <w:color w:val="000000" w:themeColor="text1"/>
          <w:kern w:val="0"/>
          <w:szCs w:val="21"/>
          <w14:textFill>
            <w14:solidFill>
              <w14:schemeClr w14:val="tx1"/>
            </w14:solidFill>
          </w14:textFill>
        </w:rPr>
        <w:t>监督审核结论意见</w:t>
      </w:r>
      <w:r>
        <w:rPr>
          <w:rFonts w:ascii="宋体" w:hAnsi="宋体" w:eastAsia="宋体" w:cs="宋体"/>
          <w:color w:val="000000" w:themeColor="text1"/>
          <w:kern w:val="0"/>
          <w:szCs w:val="28"/>
          <w14:textFill>
            <w14:solidFill>
              <w14:schemeClr w14:val="tx1"/>
            </w14:solidFill>
          </w14:textFill>
        </w:rPr>
        <w:t>:</w:t>
      </w:r>
    </w:p>
    <w:p>
      <w:pPr>
        <w:snapToGrid w:val="0"/>
        <w:spacing w:line="360" w:lineRule="auto"/>
        <w:ind w:right="-512" w:rightChars="-244" w:firstLine="420" w:firstLineChars="200"/>
        <w:rPr>
          <w:rFonts w:ascii="宋体" w:hAnsi="宋体"/>
          <w:color w:val="000000" w:themeColor="text1"/>
          <w:szCs w:val="21"/>
          <w14:textFill>
            <w14:solidFill>
              <w14:schemeClr w14:val="tx1"/>
            </w14:solidFill>
          </w14:textFill>
        </w:rPr>
      </w:pPr>
      <w:r>
        <w:rPr>
          <w:rStyle w:val="11"/>
          <w:rFonts w:hint="eastAsia" w:ascii="宋体" w:hAnsi="宋体" w:eastAsia="宋体"/>
          <w:color w:val="000000" w:themeColor="text1"/>
          <w:sz w:val="21"/>
          <w:szCs w:val="21"/>
          <w14:textFill>
            <w14:solidFill>
              <w14:schemeClr w14:val="tx1"/>
            </w14:solidFill>
          </w14:textFill>
        </w:rPr>
        <w:t>通过20</w:t>
      </w:r>
      <w:r>
        <w:rPr>
          <w:rStyle w:val="11"/>
          <w:rFonts w:hint="eastAsia" w:ascii="宋体" w:hAnsi="宋体" w:eastAsia="宋体"/>
          <w:color w:val="000000" w:themeColor="text1"/>
          <w:sz w:val="21"/>
          <w:szCs w:val="21"/>
          <w:lang w:val="en-US" w:eastAsia="zh-CN"/>
          <w14:textFill>
            <w14:solidFill>
              <w14:schemeClr w14:val="tx1"/>
            </w14:solidFill>
          </w14:textFill>
        </w:rPr>
        <w:t>22</w:t>
      </w:r>
      <w:r>
        <w:rPr>
          <w:rStyle w:val="11"/>
          <w:rFonts w:ascii="宋体" w:hAnsi="宋体" w:eastAsia="宋体"/>
          <w:color w:val="000000" w:themeColor="text1"/>
          <w:sz w:val="21"/>
          <w:szCs w:val="21"/>
          <w14:textFill>
            <w14:solidFill>
              <w14:schemeClr w14:val="tx1"/>
            </w14:solidFill>
          </w14:textFill>
        </w:rPr>
        <w:t>年</w:t>
      </w:r>
      <w:r>
        <w:rPr>
          <w:rStyle w:val="11"/>
          <w:rFonts w:hint="eastAsia" w:ascii="宋体" w:hAnsi="宋体" w:eastAsia="宋体"/>
          <w:color w:val="000000" w:themeColor="text1"/>
          <w:sz w:val="21"/>
          <w:szCs w:val="21"/>
          <w:lang w:val="en-US" w:eastAsia="zh-CN"/>
          <w14:textFill>
            <w14:solidFill>
              <w14:schemeClr w14:val="tx1"/>
            </w14:solidFill>
          </w14:textFill>
        </w:rPr>
        <w:t>9</w:t>
      </w:r>
      <w:r>
        <w:rPr>
          <w:rStyle w:val="11"/>
          <w:rFonts w:ascii="宋体" w:hAnsi="宋体" w:eastAsia="宋体"/>
          <w:color w:val="000000" w:themeColor="text1"/>
          <w:sz w:val="21"/>
          <w:szCs w:val="21"/>
          <w14:textFill>
            <w14:solidFill>
              <w14:schemeClr w14:val="tx1"/>
            </w14:solidFill>
          </w14:textFill>
        </w:rPr>
        <w:t>月</w:t>
      </w:r>
      <w:r>
        <w:rPr>
          <w:rStyle w:val="11"/>
          <w:rFonts w:hint="eastAsia" w:ascii="宋体" w:hAnsi="宋体" w:eastAsia="宋体"/>
          <w:color w:val="000000" w:themeColor="text1"/>
          <w:sz w:val="21"/>
          <w:szCs w:val="21"/>
          <w:lang w:val="en-US" w:eastAsia="zh-CN"/>
          <w14:textFill>
            <w14:solidFill>
              <w14:schemeClr w14:val="tx1"/>
            </w14:solidFill>
          </w14:textFill>
        </w:rPr>
        <w:t>9</w:t>
      </w:r>
      <w:r>
        <w:rPr>
          <w:rStyle w:val="11"/>
          <w:rFonts w:ascii="宋体" w:hAnsi="宋体" w:eastAsia="宋体"/>
          <w:color w:val="000000" w:themeColor="text1"/>
          <w:sz w:val="21"/>
          <w:szCs w:val="21"/>
          <w14:textFill>
            <w14:solidFill>
              <w14:schemeClr w14:val="tx1"/>
            </w14:solidFill>
          </w14:textFill>
        </w:rPr>
        <w:t>日</w:t>
      </w:r>
      <w:r>
        <w:rPr>
          <w:rStyle w:val="11"/>
          <w:rFonts w:hint="eastAsia" w:ascii="宋体" w:hAnsi="宋体" w:eastAsia="宋体"/>
          <w:color w:val="000000" w:themeColor="text1"/>
          <w:sz w:val="21"/>
          <w:szCs w:val="21"/>
          <w14:textFill>
            <w14:solidFill>
              <w14:schemeClr w14:val="tx1"/>
            </w14:solidFill>
          </w14:textFill>
        </w:rPr>
        <w:t>，</w:t>
      </w:r>
      <w:r>
        <w:rPr>
          <w:rStyle w:val="11"/>
          <w:rFonts w:ascii="宋体" w:hAnsi="宋体" w:eastAsia="宋体"/>
          <w:color w:val="000000" w:themeColor="text1"/>
          <w:sz w:val="21"/>
          <w:szCs w:val="21"/>
          <w14:textFill>
            <w14:solidFill>
              <w14:schemeClr w14:val="tx1"/>
            </w14:solidFill>
          </w14:textFill>
        </w:rPr>
        <w:t>对</w:t>
      </w:r>
      <w:r>
        <w:rPr>
          <w:rFonts w:cs="宋体" w:asciiTheme="minorEastAsia" w:hAnsiTheme="minorEastAsia"/>
          <w:color w:val="000000" w:themeColor="text1"/>
          <w:kern w:val="0"/>
          <w:szCs w:val="21"/>
          <w14:textFill>
            <w14:solidFill>
              <w14:schemeClr w14:val="tx1"/>
            </w14:solidFill>
          </w14:textFill>
        </w:rPr>
        <w:t>宝鸡市陈仓区东升锻造厂</w:t>
      </w:r>
      <w:r>
        <w:rPr>
          <w:rFonts w:hint="eastAsia" w:cs="宋体" w:asciiTheme="minorEastAsia" w:hAnsiTheme="minorEastAsia"/>
          <w:bCs/>
          <w:color w:val="000000" w:themeColor="text1"/>
          <w:kern w:val="0"/>
          <w:szCs w:val="21"/>
          <w:lang w:val="en-US" w:eastAsia="zh-CN"/>
          <w14:textFill>
            <w14:solidFill>
              <w14:schemeClr w14:val="tx1"/>
            </w14:solidFill>
          </w14:textFill>
        </w:rPr>
        <w:t>远程</w:t>
      </w:r>
      <w:r>
        <w:rPr>
          <w:rFonts w:hint="eastAsia" w:cs="宋体" w:asciiTheme="minorEastAsia" w:hAnsiTheme="minorEastAsia"/>
          <w:bCs/>
          <w:color w:val="000000" w:themeColor="text1"/>
          <w:kern w:val="0"/>
          <w:szCs w:val="21"/>
          <w14:textFill>
            <w14:solidFill>
              <w14:schemeClr w14:val="tx1"/>
            </w14:solidFill>
          </w14:textFill>
        </w:rPr>
        <w:t>监督</w:t>
      </w:r>
      <w:r>
        <w:rPr>
          <w:rFonts w:cs="宋体" w:asciiTheme="minorEastAsia" w:hAnsiTheme="minorEastAsia"/>
          <w:bCs/>
          <w:color w:val="000000" w:themeColor="text1"/>
          <w:kern w:val="0"/>
          <w:szCs w:val="21"/>
          <w14:textFill>
            <w14:solidFill>
              <w14:schemeClr w14:val="tx1"/>
            </w14:solidFill>
          </w14:textFill>
        </w:rPr>
        <w:t>审核</w:t>
      </w:r>
      <w:r>
        <w:rPr>
          <w:rFonts w:hint="eastAsia" w:cs="宋体" w:asciiTheme="minorEastAsia" w:hAnsiTheme="minorEastAsia"/>
          <w:bCs/>
          <w:color w:val="000000" w:themeColor="text1"/>
          <w:kern w:val="0"/>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采用腾讯会议及微信、手机视频， 通过审核电子文档、照片或截屏、视频等形式获取信息，</w:t>
      </w:r>
      <w:r>
        <w:rPr>
          <w:rFonts w:hint="eastAsia" w:asciiTheme="minorEastAsia" w:hAnsiTheme="minorEastAsia"/>
          <w:bCs/>
          <w:color w:val="000000" w:themeColor="text1"/>
          <w:szCs w:val="21"/>
          <w14:textFill>
            <w14:solidFill>
              <w14:schemeClr w14:val="tx1"/>
            </w14:solidFill>
          </w14:textFill>
        </w:rPr>
        <w:t>验证了公司在去年一年内，测量管理体系运作情况，</w:t>
      </w:r>
      <w:r>
        <w:rPr>
          <w:rFonts w:hint="eastAsia" w:ascii="宋体" w:hAnsi="宋体"/>
          <w:color w:val="000000" w:themeColor="text1"/>
          <w:szCs w:val="21"/>
          <w14:textFill>
            <w14:solidFill>
              <w14:schemeClr w14:val="tx1"/>
            </w14:solidFill>
          </w14:textFill>
        </w:rPr>
        <w:t>公司领导重视体系运行和管理，体系文件得到有效实施，企业管理规范，测量过程受控、监视方法正确有效，重要测量人员能力受控，测量设备、测量环境、测量软件、测量记录及外部供方管理等各项工作。综上所述，审核组认为</w:t>
      </w:r>
      <w:r>
        <w:rPr>
          <w:rFonts w:cs="宋体" w:asciiTheme="minorEastAsia" w:hAnsiTheme="minorEastAsia"/>
          <w:color w:val="000000" w:themeColor="text1"/>
          <w:kern w:val="0"/>
          <w:szCs w:val="21"/>
          <w14:textFill>
            <w14:solidFill>
              <w14:schemeClr w14:val="tx1"/>
            </w14:solidFill>
          </w14:textFill>
        </w:rPr>
        <w:t>宝鸡市陈仓区东升锻造厂</w:t>
      </w:r>
      <w:r>
        <w:rPr>
          <w:rFonts w:hint="eastAsia" w:ascii="宋体" w:hAnsi="宋体"/>
          <w:color w:val="000000" w:themeColor="text1"/>
          <w:szCs w:val="21"/>
          <w14:textFill>
            <w14:solidFill>
              <w14:schemeClr w14:val="tx1"/>
            </w14:solidFill>
          </w14:textFill>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1600200</wp:posOffset>
            </wp:positionH>
            <wp:positionV relativeFrom="paragraph">
              <wp:posOffset>193675</wp:posOffset>
            </wp:positionV>
            <wp:extent cx="443230" cy="340360"/>
            <wp:effectExtent l="0" t="0" r="1270" b="2540"/>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443230" cy="340360"/>
                    </a:xfrm>
                    <a:prstGeom prst="rect">
                      <a:avLst/>
                    </a:prstGeom>
                  </pic:spPr>
                </pic:pic>
              </a:graphicData>
            </a:graphic>
          </wp:anchor>
        </w:drawing>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2022.9.9</w:t>
      </w:r>
    </w:p>
    <w:p>
      <w:pPr>
        <w:widowControl/>
        <w:spacing w:line="360" w:lineRule="auto"/>
        <w:jc w:val="left"/>
        <w:rPr>
          <w:rFonts w:ascii="宋体" w:hAnsi="宋体" w:eastAsia="宋体" w:cs="宋体"/>
          <w:kern w:val="0"/>
          <w:szCs w:val="21"/>
        </w:rPr>
      </w:pP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9"/>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9"/>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9"/>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360AD"/>
    <w:multiLevelType w:val="singleLevel"/>
    <w:tmpl w:val="30D360A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398930F5"/>
    <w:rsid w:val="44411C01"/>
    <w:rsid w:val="535057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2</TotalTime>
  <ScaleCrop>false</ScaleCrop>
  <LinksUpToDate>false</LinksUpToDate>
  <CharactersWithSpaces>2163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2022-10-01T15:46:59Z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68F95592B0DC4348BBE468204C62B2BF</vt:lpwstr>
  </property>
</Properties>
</file>