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宝鸡天王机械有限责任公司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0137-2019-2022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0137-2019-2022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宝鸡天王机械有限责任公司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鲁刚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ISC-2019-0494</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2024-09-16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三</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2022年09月08日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autoSpaceDE w:val="0"/>
              <w:autoSpaceDN w:val="0"/>
              <w:adjustRightInd w:val="0"/>
              <w:spacing w:before="35" w:line="276" w:lineRule="auto"/>
              <w:ind w:right="161"/>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李俐</w:t>
            </w:r>
          </w:p>
          <w:p>
            <w:pPr>
              <w:autoSpaceDE w:val="0"/>
              <w:autoSpaceDN w:val="0"/>
              <w:adjustRightInd w:val="0"/>
              <w:spacing w:before="35" w:line="276" w:lineRule="auto"/>
              <w:ind w:right="161"/>
              <w:rPr>
                <w:rFonts w:hint="eastAsia" w:cs="宋体" w:asciiTheme="minorEastAsia" w:hAnsiTheme="minorEastAsia"/>
                <w:kern w:val="0"/>
                <w:szCs w:val="21"/>
                <w:lang w:val="en-US" w:eastAsia="zh-CN"/>
              </w:rPr>
            </w:pPr>
            <w:r>
              <w:rPr>
                <w:rFonts w:ascii="宋体" w:hAnsi="宋体" w:eastAsia="宋体" w:cs="Times New Roman"/>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tabs>
                <w:tab w:val="left" w:pos="880"/>
              </w:tabs>
              <w:autoSpaceDE w:val="0"/>
              <w:autoSpaceDN w:val="0"/>
              <w:adjustRightInd w:val="0"/>
              <w:spacing w:before="35" w:line="360" w:lineRule="auto"/>
              <w:ind w:right="161" w:rightChars="0"/>
              <w:rPr>
                <w:rFonts w:hint="eastAsia"/>
                <w:szCs w:val="21"/>
                <w:lang w:val="en-US" w:eastAsia="zh-CN"/>
              </w:rPr>
            </w:pPr>
            <w:r>
              <w:rPr>
                <w:rFonts w:hint="eastAsia" w:ascii="宋体" w:hAnsi="宋体"/>
                <w:szCs w:val="21"/>
                <w:lang w:val="en-US" w:eastAsia="zh-CN"/>
              </w:rPr>
              <w:t>办公室、</w:t>
            </w:r>
            <w:r>
              <w:rPr>
                <w:rFonts w:hint="eastAsia"/>
                <w:szCs w:val="21"/>
              </w:rPr>
              <w:t>技术部</w:t>
            </w:r>
            <w:r>
              <w:rPr>
                <w:rFonts w:hint="eastAsia"/>
                <w:szCs w:val="21"/>
                <w:lang w:val="en-US" w:eastAsia="zh-CN"/>
              </w:rPr>
              <w:t>、</w:t>
            </w:r>
          </w:p>
          <w:p>
            <w:pPr>
              <w:tabs>
                <w:tab w:val="left" w:pos="880"/>
              </w:tabs>
              <w:autoSpaceDE w:val="0"/>
              <w:autoSpaceDN w:val="0"/>
              <w:adjustRightInd w:val="0"/>
              <w:spacing w:before="35" w:line="360" w:lineRule="auto"/>
              <w:ind w:right="161" w:rightChars="0"/>
              <w:rPr>
                <w:rFonts w:cs="宋体" w:asciiTheme="minorEastAsia" w:hAnsiTheme="minorEastAsia" w:eastAsiaTheme="minorEastAsia"/>
                <w:kern w:val="0"/>
                <w:sz w:val="21"/>
                <w:szCs w:val="21"/>
                <w:lang w:val="en-US" w:eastAsia="zh-CN" w:bidi="ar-SA"/>
              </w:rPr>
            </w:pPr>
            <w:r>
              <w:rPr>
                <w:rFonts w:hint="eastAsia"/>
                <w:szCs w:val="21"/>
                <w:lang w:val="en-US" w:eastAsia="zh-CN"/>
              </w:rPr>
              <w:t>品管部、</w:t>
            </w:r>
            <w:r>
              <w:rPr>
                <w:rFonts w:hint="eastAsia"/>
                <w:szCs w:val="21"/>
              </w:rPr>
              <w:t>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ascii="宋体" w:hAnsi="宋体" w:cs="宋体"/>
          <w:bCs/>
          <w:color w:val="000000" w:themeColor="text1"/>
          <w:kern w:val="0"/>
          <w:szCs w:val="21"/>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21</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8</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2.1内审情况：</w:t>
      </w:r>
      <w:r>
        <w:rPr>
          <w:rFonts w:hint="eastAsia"/>
          <w:bCs/>
          <w:color w:val="000000" w:themeColor="text1"/>
          <w:szCs w:val="21"/>
        </w:rPr>
        <w:t>公司于</w:t>
      </w:r>
      <w:r>
        <w:rPr>
          <w:rFonts w:hint="eastAsia"/>
          <w:bCs/>
          <w:color w:val="000000" w:themeColor="text1"/>
          <w:szCs w:val="21"/>
          <w:lang w:eastAsia="zh-CN"/>
        </w:rPr>
        <w:t>202</w:t>
      </w:r>
      <w:r>
        <w:rPr>
          <w:rFonts w:hint="eastAsia"/>
          <w:bCs/>
          <w:color w:val="000000" w:themeColor="text1"/>
          <w:szCs w:val="21"/>
          <w:lang w:val="en-US" w:eastAsia="zh-CN"/>
        </w:rPr>
        <w:t>2</w:t>
      </w:r>
      <w:r>
        <w:rPr>
          <w:rFonts w:hint="eastAsia"/>
          <w:bCs/>
          <w:color w:val="000000" w:themeColor="text1"/>
          <w:szCs w:val="21"/>
        </w:rPr>
        <w:t>年</w:t>
      </w:r>
      <w:r>
        <w:rPr>
          <w:rFonts w:hint="eastAsia"/>
          <w:bCs/>
          <w:color w:val="000000" w:themeColor="text1"/>
          <w:szCs w:val="21"/>
          <w:lang w:val="en-US" w:eastAsia="zh-CN"/>
        </w:rPr>
        <w:t>08</w:t>
      </w:r>
      <w:r>
        <w:rPr>
          <w:rFonts w:hint="eastAsia"/>
          <w:bCs/>
          <w:color w:val="000000" w:themeColor="text1"/>
          <w:szCs w:val="21"/>
        </w:rPr>
        <w:t>月</w:t>
      </w:r>
      <w:r>
        <w:rPr>
          <w:rFonts w:hint="eastAsia"/>
          <w:bCs/>
          <w:color w:val="000000" w:themeColor="text1"/>
          <w:szCs w:val="21"/>
          <w:lang w:val="en-US" w:eastAsia="zh-CN"/>
        </w:rPr>
        <w:t>15</w:t>
      </w:r>
      <w:r>
        <w:rPr>
          <w:rFonts w:hint="eastAsia"/>
          <w:bCs/>
          <w:color w:val="000000" w:themeColor="text1"/>
          <w:szCs w:val="21"/>
        </w:rPr>
        <w:t>日组织了公司测量管理体系，内审组对公司</w:t>
      </w:r>
      <w:r>
        <w:rPr>
          <w:rFonts w:hint="eastAsia"/>
          <w:bCs/>
          <w:color w:val="000000" w:themeColor="text1"/>
          <w:szCs w:val="21"/>
          <w:lang w:val="en-US" w:eastAsia="zh-CN"/>
        </w:rPr>
        <w:t>4</w:t>
      </w:r>
      <w:r>
        <w:rPr>
          <w:rFonts w:hint="eastAsia"/>
          <w:bCs/>
          <w:color w:val="000000" w:themeColor="text1"/>
          <w:szCs w:val="21"/>
        </w:rPr>
        <w:t>个部门进行了全要素的审核，共开出了</w:t>
      </w:r>
      <w:r>
        <w:rPr>
          <w:rFonts w:hint="eastAsia"/>
          <w:bCs/>
          <w:color w:val="000000" w:themeColor="text1"/>
          <w:szCs w:val="21"/>
          <w:lang w:val="en-US" w:eastAsia="zh-CN"/>
        </w:rPr>
        <w:t>1个</w:t>
      </w:r>
      <w:r>
        <w:rPr>
          <w:rFonts w:hint="eastAsia"/>
          <w:bCs/>
          <w:color w:val="000000" w:themeColor="text1"/>
          <w:szCs w:val="21"/>
        </w:rPr>
        <w:t>不符合项，于</w:t>
      </w:r>
      <w:r>
        <w:rPr>
          <w:rFonts w:hint="eastAsia"/>
          <w:bCs/>
          <w:color w:val="000000" w:themeColor="text1"/>
          <w:szCs w:val="21"/>
          <w:lang w:val="en-US" w:eastAsia="zh-CN"/>
        </w:rPr>
        <w:t>8</w:t>
      </w:r>
      <w:r>
        <w:rPr>
          <w:rFonts w:hint="eastAsia"/>
          <w:bCs/>
          <w:color w:val="000000" w:themeColor="text1"/>
          <w:szCs w:val="21"/>
        </w:rPr>
        <w:t>月</w:t>
      </w:r>
      <w:r>
        <w:rPr>
          <w:rFonts w:hint="eastAsia"/>
          <w:bCs/>
          <w:color w:val="000000" w:themeColor="text1"/>
          <w:szCs w:val="21"/>
          <w:lang w:val="en-US" w:eastAsia="zh-CN"/>
        </w:rPr>
        <w:t>19</w:t>
      </w:r>
      <w:r>
        <w:rPr>
          <w:rFonts w:hint="eastAsia"/>
          <w:bCs/>
          <w:color w:val="000000" w:themeColor="text1"/>
          <w:szCs w:val="21"/>
        </w:rPr>
        <w:t>日完成整改。</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2.2管理评审情况：企业2022年8月25日开展了测量管理体系评审，会议由公司总经理鲁刚主持，由管理者代表黎张礼汇报了体系运行情况。会议肯定了公司测量管理体系的充分性、有效性和适宜性。形成了管理评审报告，对公司测量管理体系目前存在的1个方面的改进要求落实了责任部门。</w:t>
      </w:r>
    </w:p>
    <w:p>
      <w:pPr>
        <w:widowControl/>
        <w:spacing w:line="360" w:lineRule="auto"/>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3.为持续改进而策划的活动的进展企业对识别的关键测量过程进行了持续的控制，没有新增关键测量过程：</w:t>
      </w:r>
    </w:p>
    <w:p>
      <w:pPr>
        <w:widowControl/>
        <w:spacing w:line="360" w:lineRule="auto"/>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a)计量要求的导出和验证：查低倒档拨叉轴外圆检验计量测量过程，计量要求导出方法正确，验证满足测量过程要求。详见附件《计量要求导出及验证记录表》</w:t>
      </w:r>
    </w:p>
    <w:p>
      <w:pPr>
        <w:widowControl/>
        <w:spacing w:line="360" w:lineRule="auto"/>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b)测量不确定评定：查低倒档拨叉轴外圆检验计量测量过程，测量不确定度评定正确。详见附件《测量不确定度评定》</w:t>
      </w:r>
    </w:p>
    <w:p>
      <w:pPr>
        <w:widowControl/>
        <w:spacing w:line="360" w:lineRule="auto"/>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c)有效性确认：查低倒档拨叉轴外圆检验测量过程，采用比对法进行有效性确认，满足要求。详见附件《测量过程有效性确认》</w:t>
      </w:r>
    </w:p>
    <w:p>
      <w:pPr>
        <w:widowControl/>
        <w:spacing w:line="360" w:lineRule="auto"/>
        <w:rPr>
          <w:rFonts w:hint="eastAsia"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d)测量过程的控制：查低倒档拨叉轴外圆检验测量过程，编制了控制规范，对测量人员、测量设备、测量环境进行控制，满足要求。</w:t>
      </w:r>
    </w:p>
    <w:p>
      <w:pPr>
        <w:widowControl/>
        <w:spacing w:line="360" w:lineRule="auto"/>
        <w:rPr>
          <w:rFonts w:hint="eastAsia"/>
          <w:color w:val="000000" w:themeColor="text1"/>
          <w:szCs w:val="21"/>
        </w:rPr>
      </w:pPr>
      <w:r>
        <w:rPr>
          <w:rFonts w:hint="eastAsia"/>
          <w:color w:val="000000" w:themeColor="text1"/>
          <w:szCs w:val="21"/>
        </w:rPr>
        <w:t>e)测量过程的监视：查低倒档拨叉轴外圆检验测量过程，采用统计技术进行控制和监视测量过程。祥见《测量过程监视记录》</w:t>
      </w:r>
    </w:p>
    <w:p>
      <w:pPr>
        <w:widowControl/>
        <w:spacing w:line="360" w:lineRule="auto"/>
        <w:rPr>
          <w:rFonts w:hint="eastAsia"/>
          <w:color w:val="000000" w:themeColor="text1"/>
          <w:szCs w:val="21"/>
        </w:rPr>
      </w:pPr>
      <w:r>
        <w:rPr>
          <w:rFonts w:hint="eastAsia"/>
          <w:color w:val="000000" w:themeColor="text1"/>
          <w:szCs w:val="21"/>
        </w:rPr>
        <w:t>f)测量设备的溯源：公司计量部未建立最高计量标准，企业测量设备委托江苏世通仪器检测服务有限公司校准。抽查</w:t>
      </w:r>
      <w:r>
        <w:rPr>
          <w:rFonts w:hint="eastAsia"/>
          <w:color w:val="000000" w:themeColor="text1"/>
          <w:szCs w:val="21"/>
          <w:lang w:val="en-US" w:eastAsia="zh-CN"/>
        </w:rPr>
        <w:t>8</w:t>
      </w:r>
      <w:r>
        <w:rPr>
          <w:rFonts w:hint="eastAsia"/>
          <w:color w:val="000000" w:themeColor="text1"/>
          <w:szCs w:val="21"/>
        </w:rPr>
        <w:t>台测量设备校准证书，溯源满足要求。详见《测量设备溯源检查表》</w:t>
      </w:r>
    </w:p>
    <w:p>
      <w:pPr>
        <w:widowControl/>
        <w:spacing w:line="360" w:lineRule="auto"/>
        <w:rPr>
          <w:rFonts w:hint="eastAsia"/>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color w:val="000000" w:themeColor="text1"/>
          <w:szCs w:val="21"/>
        </w:rPr>
      </w:pPr>
      <w:r>
        <w:rPr>
          <w:rFonts w:hint="eastAsia"/>
          <w:color w:val="000000" w:themeColor="text1"/>
          <w:szCs w:val="21"/>
        </w:rPr>
        <w:t>企业20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度</w:t>
      </w:r>
      <w:r>
        <w:rPr>
          <w:rFonts w:hint="eastAsia"/>
          <w:color w:val="000000" w:themeColor="text1"/>
          <w:szCs w:val="21"/>
        </w:rPr>
        <w:t>耗能</w:t>
      </w:r>
      <w:r>
        <w:rPr>
          <w:rFonts w:hint="eastAsia"/>
          <w:color w:val="000000" w:themeColor="text1"/>
          <w:szCs w:val="21"/>
          <w:lang w:val="en-US" w:eastAsia="zh-CN"/>
        </w:rPr>
        <w:t>112</w:t>
      </w:r>
      <w:r>
        <w:rPr>
          <w:rFonts w:hint="eastAsia"/>
          <w:color w:val="000000" w:themeColor="text1"/>
          <w:szCs w:val="21"/>
        </w:rPr>
        <w:t>吨标准煤。</w:t>
      </w:r>
      <w:r>
        <w:rPr>
          <w:rFonts w:hint="eastAsia"/>
          <w:color w:val="000000" w:themeColor="text1"/>
          <w:szCs w:val="21"/>
          <w:lang w:val="en-US" w:eastAsia="zh-CN"/>
        </w:rPr>
        <w:t>不属于</w:t>
      </w:r>
      <w:r>
        <w:rPr>
          <w:rFonts w:hint="eastAsia"/>
          <w:color w:val="000000" w:themeColor="text1"/>
          <w:szCs w:val="21"/>
        </w:rPr>
        <w:t>重点耗能单位，</w:t>
      </w:r>
      <w:r>
        <w:rPr>
          <w:rFonts w:hint="eastAsia"/>
          <w:color w:val="000000" w:themeColor="text1"/>
          <w:szCs w:val="21"/>
          <w:lang w:val="en-US" w:eastAsia="zh-CN"/>
        </w:rPr>
        <w:t>能源计量器具属于生产部门控制管理</w:t>
      </w:r>
      <w:r>
        <w:rPr>
          <w:rFonts w:hint="eastAsia"/>
          <w:color w:val="000000" w:themeColor="text1"/>
          <w:szCs w:val="21"/>
        </w:rPr>
        <w:t>。</w:t>
      </w:r>
    </w:p>
    <w:p>
      <w:pPr>
        <w:widowControl/>
        <w:spacing w:line="360" w:lineRule="auto"/>
        <w:rPr>
          <w:rFonts w:hint="eastAsia"/>
          <w:color w:val="000000" w:themeColor="text1"/>
          <w:szCs w:val="21"/>
        </w:rPr>
      </w:pPr>
      <w:r>
        <w:rPr>
          <w:rFonts w:hint="eastAsia"/>
          <w:color w:val="000000" w:themeColor="text1"/>
          <w:szCs w:val="21"/>
        </w:rPr>
        <w:t>5.对认证审核时提出的的不符合项的纠正措施情况有表述： </w:t>
      </w:r>
    </w:p>
    <w:p>
      <w:pPr>
        <w:widowControl/>
        <w:spacing w:line="360" w:lineRule="auto"/>
        <w:ind w:firstLine="420" w:firstLineChars="200"/>
        <w:rPr>
          <w:rFonts w:cs="宋体" w:asciiTheme="minorEastAsia" w:hAnsiTheme="minorEastAsia"/>
          <w:color w:val="000000" w:themeColor="text1"/>
          <w:kern w:val="0"/>
          <w:szCs w:val="21"/>
        </w:rPr>
      </w:pPr>
      <w:r>
        <w:rPr>
          <w:rFonts w:hint="eastAsia"/>
          <w:color w:val="000000" w:themeColor="text1"/>
          <w:szCs w:val="21"/>
        </w:rPr>
        <w:t>查20</w:t>
      </w:r>
      <w:r>
        <w:rPr>
          <w:rFonts w:hint="eastAsia"/>
          <w:color w:val="000000" w:themeColor="text1"/>
          <w:szCs w:val="21"/>
          <w:lang w:val="en-US" w:eastAsia="zh-CN"/>
        </w:rPr>
        <w:t>21</w:t>
      </w:r>
      <w:r>
        <w:rPr>
          <w:rFonts w:hint="eastAsia"/>
          <w:color w:val="000000" w:themeColor="text1"/>
          <w:szCs w:val="21"/>
        </w:rPr>
        <w:t>年外审开出了一项不符合项报告：审核品管部发现，编号181151283三点内径千分尺没有依据2020年9月14日的校准结果实施验证；不符合GB/T19022标准条款7.1.1要求</w:t>
      </w:r>
      <w:r>
        <w:rPr>
          <w:rFonts w:hint="eastAsia"/>
          <w:color w:val="000000" w:themeColor="text1"/>
          <w:szCs w:val="21"/>
          <w:lang w:eastAsia="zh-CN"/>
        </w:rPr>
        <w:t>；</w:t>
      </w:r>
      <w:r>
        <w:rPr>
          <w:rFonts w:hint="eastAsia" w:ascii="宋体" w:hAnsi="宋体" w:cs="宋体"/>
          <w:bCs/>
          <w:color w:val="000000" w:themeColor="text1"/>
          <w:kern w:val="0"/>
          <w:szCs w:val="21"/>
        </w:rPr>
        <w:t>企业对不符合组织了纠正，1.</w:t>
      </w:r>
      <w:r>
        <w:rPr>
          <w:rFonts w:hint="eastAsia" w:ascii="宋体" w:hAnsi="宋体" w:cs="宋体"/>
          <w:bCs/>
          <w:color w:val="000000" w:themeColor="text1"/>
          <w:kern w:val="0"/>
          <w:szCs w:val="21"/>
          <w:lang w:val="en-US" w:eastAsia="zh-CN"/>
        </w:rPr>
        <w:t>对该计量器具进行了验证</w:t>
      </w: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en-US" w:eastAsia="zh-CN"/>
        </w:rPr>
        <w:t>举一反三对所有计量器具进行排查</w:t>
      </w:r>
      <w:r>
        <w:rPr>
          <w:rFonts w:hint="eastAsia" w:ascii="宋体" w:hAnsi="宋体" w:cs="宋体"/>
          <w:bCs/>
          <w:color w:val="000000" w:themeColor="text1"/>
          <w:kern w:val="0"/>
          <w:szCs w:val="21"/>
        </w:rPr>
        <w:t>避免相同问题重复发生。验证该不符合项纠正措施有效，同意关闭。</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lang w:val="en-US" w:eastAsia="zh-CN"/>
        </w:rPr>
        <w:t>6.</w:t>
      </w: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公司制定了</w:t>
      </w:r>
      <w:r>
        <w:rPr>
          <w:rFonts w:hint="eastAsia" w:asciiTheme="minorEastAsia" w:hAnsiTheme="minorEastAsia"/>
          <w:bCs/>
          <w:color w:val="000000" w:themeColor="text1"/>
          <w:szCs w:val="21"/>
          <w:lang w:val="en-US" w:eastAsia="zh-CN"/>
        </w:rPr>
        <w:t>5</w:t>
      </w:r>
      <w:r>
        <w:rPr>
          <w:rFonts w:hint="eastAsia" w:asciiTheme="minorEastAsia" w:hAnsiTheme="minorEastAsia"/>
          <w:bCs/>
          <w:color w:val="000000" w:themeColor="text1"/>
          <w:szCs w:val="21"/>
        </w:rPr>
        <w:t>项质量目标，对目标进行了分解，查20</w:t>
      </w:r>
      <w:r>
        <w:rPr>
          <w:rFonts w:hint="eastAsia" w:asciiTheme="minorEastAsia" w:hAnsiTheme="minorEastAsia"/>
          <w:bCs/>
          <w:color w:val="000000" w:themeColor="text1"/>
          <w:szCs w:val="21"/>
          <w:lang w:val="en-US" w:eastAsia="zh-CN"/>
        </w:rPr>
        <w:t>22</w:t>
      </w:r>
      <w:r>
        <w:rPr>
          <w:rFonts w:hint="eastAsia" w:asciiTheme="minorEastAsia" w:hAnsiTheme="minorEastAsia"/>
          <w:bCs/>
          <w:color w:val="000000" w:themeColor="text1"/>
          <w:szCs w:val="21"/>
        </w:rPr>
        <w:t>年1月到</w:t>
      </w: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月质量目标完成情况检查表，按目标、措施、完成情况、未完成情况进行统计，记录内容全，每月统计，质量目标管理满足要求。</w:t>
      </w:r>
    </w:p>
    <w:p>
      <w:pPr>
        <w:widowControl/>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ind w:firstLine="210" w:firstLineChars="1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w:t>
      </w:r>
      <w:r>
        <w:rPr>
          <w:rFonts w:hint="eastAsia"/>
          <w:color w:val="000000" w:themeColor="text1"/>
          <w:szCs w:val="21"/>
        </w:rPr>
        <w:t>宣传</w:t>
      </w:r>
      <w:r>
        <w:rPr>
          <w:rFonts w:hint="eastAsia" w:cs="宋体" w:asciiTheme="minorEastAsia" w:hAnsiTheme="minorEastAsia"/>
          <w:bCs/>
          <w:color w:val="000000" w:themeColor="text1"/>
          <w:kern w:val="0"/>
          <w:szCs w:val="21"/>
        </w:rPr>
        <w:t>。</w:t>
      </w:r>
    </w:p>
    <w:p>
      <w:pPr>
        <w:widowControl/>
        <w:spacing w:line="360" w:lineRule="auto"/>
        <w:rPr>
          <w:rFonts w:hint="eastAsia" w:ascii="宋体" w:hAnsi="宋体" w:eastAsia="宋体" w:cs="宋体"/>
          <w:bCs/>
          <w:color w:val="000000" w:themeColor="text1"/>
          <w:kern w:val="0"/>
          <w:sz w:val="21"/>
          <w:szCs w:val="21"/>
          <w:lang w:val="en-US" w:eastAsia="zh-CN"/>
        </w:rPr>
      </w:pPr>
      <w:r>
        <w:rPr>
          <w:rFonts w:hint="eastAsia" w:ascii="宋体" w:hAnsi="宋体" w:eastAsia="宋体" w:cs="宋体"/>
          <w:bCs/>
          <w:color w:val="000000" w:themeColor="text1"/>
          <w:kern w:val="0"/>
          <w:sz w:val="21"/>
          <w:szCs w:val="21"/>
          <w:lang w:val="en-US" w:eastAsia="zh-CN"/>
        </w:rPr>
        <w:t>10.本次监督审核未出具一般不符合，未发现严重的或系统性的不符合情况：</w:t>
      </w:r>
    </w:p>
    <w:p>
      <w:pPr>
        <w:widowControl/>
        <w:spacing w:line="360" w:lineRule="auto"/>
        <w:rPr>
          <w:rFonts w:hint="eastAsia" w:ascii="宋体" w:hAnsi="宋体" w:eastAsia="宋体" w:cs="宋体"/>
          <w:bCs/>
          <w:color w:val="000000" w:themeColor="text1"/>
          <w:sz w:val="21"/>
          <w:szCs w:val="21"/>
          <w:lang w:val="en-US" w:eastAsia="zh-CN"/>
        </w:rPr>
      </w:pPr>
      <w:r>
        <w:rPr>
          <w:rFonts w:hint="eastAsia" w:ascii="宋体" w:hAnsi="宋体" w:eastAsia="宋体" w:cs="宋体"/>
          <w:bCs/>
          <w:color w:val="000000" w:themeColor="text1"/>
          <w:kern w:val="0"/>
          <w:sz w:val="21"/>
          <w:szCs w:val="21"/>
          <w:lang w:val="en-US" w:eastAsia="zh-CN"/>
        </w:rPr>
        <w:t>11.</w:t>
      </w:r>
      <w:r>
        <w:rPr>
          <w:rFonts w:hint="eastAsia" w:ascii="宋体" w:hAnsi="宋体" w:eastAsia="宋体" w:cs="宋体"/>
          <w:bCs/>
          <w:color w:val="000000" w:themeColor="text1"/>
          <w:sz w:val="21"/>
          <w:szCs w:val="21"/>
        </w:rPr>
        <w:t>产品的销售</w:t>
      </w:r>
      <w:r>
        <w:rPr>
          <w:rFonts w:hint="eastAsia" w:ascii="宋体" w:hAnsi="宋体" w:eastAsia="宋体" w:cs="宋体"/>
          <w:bCs/>
          <w:color w:val="000000" w:themeColor="text1"/>
          <w:sz w:val="21"/>
          <w:szCs w:val="21"/>
          <w:lang w:val="en-US" w:eastAsia="zh-CN"/>
        </w:rPr>
        <w:t>情况：</w:t>
      </w:r>
    </w:p>
    <w:p>
      <w:pPr>
        <w:widowControl/>
        <w:spacing w:line="360" w:lineRule="auto"/>
        <w:ind w:firstLine="420" w:firstLineChars="200"/>
        <w:rPr>
          <w:rFonts w:hint="eastAsia" w:cs="宋体" w:asciiTheme="minorEastAsia" w:hAnsiTheme="minorEastAsia"/>
          <w:bCs/>
          <w:color w:val="000000" w:themeColor="text1"/>
          <w:kern w:val="0"/>
          <w:szCs w:val="21"/>
        </w:rPr>
      </w:pPr>
      <w:bookmarkStart w:id="12" w:name="_GoBack"/>
      <w:r>
        <w:rPr>
          <w:rFonts w:hint="eastAsia" w:ascii="宋体" w:hAnsi="宋体" w:eastAsia="宋体" w:cs="宋体"/>
          <w:bCs/>
          <w:color w:val="000000" w:themeColor="text1"/>
          <w:sz w:val="21"/>
          <w:szCs w:val="21"/>
        </w:rPr>
        <w:t>抽查</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合同编号BFXS20220</w:t>
      </w:r>
      <w:r>
        <w:rPr>
          <w:rFonts w:hint="eastAsia" w:ascii="宋体" w:hAnsi="宋体" w:eastAsia="宋体" w:cs="宋体"/>
          <w:bCs/>
          <w:color w:val="000000" w:themeColor="text1"/>
          <w:sz w:val="21"/>
          <w:szCs w:val="21"/>
          <w:lang w:val="en-US" w:eastAsia="zh-CN"/>
        </w:rPr>
        <w:t>201</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签订时间2022年</w:t>
      </w:r>
      <w:r>
        <w:rPr>
          <w:rFonts w:hint="eastAsia" w:ascii="宋体" w:hAnsi="宋体" w:eastAsia="宋体" w:cs="宋体"/>
          <w:bCs/>
          <w:color w:val="000000" w:themeColor="text1"/>
          <w:sz w:val="21"/>
          <w:szCs w:val="21"/>
          <w:lang w:val="en-US" w:eastAsia="zh-CN"/>
        </w:rPr>
        <w:t>2</w:t>
      </w:r>
      <w:r>
        <w:rPr>
          <w:rFonts w:hint="eastAsia" w:ascii="宋体" w:hAnsi="宋体" w:eastAsia="宋体" w:cs="宋体"/>
          <w:bCs/>
          <w:color w:val="000000" w:themeColor="text1"/>
          <w:sz w:val="21"/>
          <w:szCs w:val="21"/>
        </w:rPr>
        <w:t>月</w:t>
      </w:r>
      <w:r>
        <w:rPr>
          <w:rFonts w:hint="eastAsia" w:ascii="宋体" w:hAnsi="宋体" w:eastAsia="宋体" w:cs="宋体"/>
          <w:bCs/>
          <w:color w:val="000000" w:themeColor="text1"/>
          <w:sz w:val="21"/>
          <w:szCs w:val="21"/>
          <w:lang w:val="en-US" w:eastAsia="zh-CN"/>
        </w:rPr>
        <w:t>1</w:t>
      </w:r>
      <w:r>
        <w:rPr>
          <w:rFonts w:hint="eastAsia" w:ascii="宋体" w:hAnsi="宋体" w:eastAsia="宋体" w:cs="宋体"/>
          <w:bCs/>
          <w:color w:val="000000" w:themeColor="text1"/>
          <w:sz w:val="21"/>
          <w:szCs w:val="21"/>
        </w:rPr>
        <w:t>日</w:t>
      </w:r>
      <w:r>
        <w:rPr>
          <w:rFonts w:hint="eastAsia" w:ascii="宋体" w:hAnsi="宋体" w:eastAsia="宋体" w:cs="宋体"/>
          <w:bCs/>
          <w:color w:val="000000" w:themeColor="text1"/>
          <w:sz w:val="21"/>
          <w:szCs w:val="21"/>
          <w:lang w:val="en-US" w:eastAsia="zh-CN"/>
        </w:rPr>
        <w:t>与</w:t>
      </w:r>
      <w:r>
        <w:rPr>
          <w:rFonts w:hint="eastAsia" w:ascii="宋体" w:hAnsi="宋体" w:eastAsia="宋体" w:cs="宋体"/>
          <w:bCs/>
          <w:color w:val="000000" w:themeColor="text1"/>
          <w:sz w:val="21"/>
          <w:szCs w:val="21"/>
        </w:rPr>
        <w:t>宝鸡法士特齿轮有限责任公司</w:t>
      </w:r>
      <w:r>
        <w:rPr>
          <w:rFonts w:hint="eastAsia" w:ascii="宋体" w:hAnsi="宋体" w:eastAsia="宋体" w:cs="宋体"/>
          <w:bCs/>
          <w:color w:val="000000" w:themeColor="text1"/>
          <w:sz w:val="21"/>
          <w:szCs w:val="21"/>
          <w:lang w:val="en-US" w:eastAsia="zh-CN"/>
        </w:rPr>
        <w:t>签订的</w:t>
      </w:r>
      <w:bookmarkStart w:id="10" w:name="审核范围"/>
      <w:r>
        <w:rPr>
          <w:rFonts w:hint="eastAsia" w:ascii="宋体" w:hAnsi="宋体"/>
          <w:szCs w:val="21"/>
        </w:rPr>
        <w:t>汽车变速箱零部件(铸造件、机加工件)的生产</w:t>
      </w:r>
      <w:bookmarkEnd w:id="10"/>
      <w:r>
        <w:rPr>
          <w:rFonts w:hint="eastAsia" w:ascii="宋体" w:hAnsi="宋体" w:eastAsia="宋体" w:cs="宋体"/>
          <w:bCs/>
          <w:color w:val="000000" w:themeColor="text1"/>
          <w:sz w:val="21"/>
          <w:szCs w:val="21"/>
        </w:rPr>
        <w:t>销售合同</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确认企业对应的产品生产过程涉及有对应的测量过程和测量设备，测量设备的配备可满足该合同产品的生产和检验要求。</w:t>
      </w:r>
    </w:p>
    <w:bookmarkEnd w:id="12"/>
    <w:p>
      <w:pPr>
        <w:snapToGrid w:val="0"/>
        <w:spacing w:line="400" w:lineRule="exact"/>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widowControl/>
        <w:spacing w:line="360" w:lineRule="auto"/>
        <w:ind w:firstLine="420" w:firstLineChars="200"/>
        <w:rPr>
          <w:rFonts w:hint="eastAsia"/>
          <w:color w:val="000000" w:themeColor="text1"/>
          <w:szCs w:val="21"/>
        </w:rPr>
      </w:pPr>
      <w:r>
        <w:rPr>
          <w:rFonts w:hint="eastAsia"/>
          <w:color w:val="000000" w:themeColor="text1"/>
          <w:szCs w:val="21"/>
        </w:rPr>
        <w:t>通过2</w:t>
      </w:r>
      <w:r>
        <w:rPr>
          <w:rFonts w:hint="eastAsia"/>
          <w:color w:val="000000" w:themeColor="text1"/>
          <w:szCs w:val="21"/>
          <w:lang w:val="en-US" w:eastAsia="zh-CN"/>
        </w:rPr>
        <w:t>022</w:t>
      </w:r>
      <w:r>
        <w:rPr>
          <w:rFonts w:hint="eastAsia"/>
          <w:color w:val="000000" w:themeColor="text1"/>
          <w:szCs w:val="21"/>
        </w:rPr>
        <w:t>年</w:t>
      </w:r>
      <w:r>
        <w:rPr>
          <w:rFonts w:hint="eastAsia"/>
          <w:color w:val="000000" w:themeColor="text1"/>
          <w:szCs w:val="21"/>
          <w:lang w:val="en-US" w:eastAsia="zh-CN"/>
        </w:rPr>
        <w:t>9</w:t>
      </w:r>
      <w:r>
        <w:rPr>
          <w:rFonts w:hint="eastAsia"/>
          <w:color w:val="000000" w:themeColor="text1"/>
          <w:szCs w:val="21"/>
        </w:rPr>
        <w:t>月</w:t>
      </w:r>
      <w:r>
        <w:rPr>
          <w:rFonts w:hint="eastAsia"/>
          <w:color w:val="000000" w:themeColor="text1"/>
          <w:szCs w:val="21"/>
          <w:lang w:val="en-US" w:eastAsia="zh-CN"/>
        </w:rPr>
        <w:t>8</w:t>
      </w:r>
      <w:r>
        <w:rPr>
          <w:rFonts w:hint="eastAsia"/>
          <w:color w:val="000000" w:themeColor="text1"/>
          <w:szCs w:val="21"/>
        </w:rPr>
        <w:t>日，对</w:t>
      </w:r>
      <w:r>
        <w:rPr>
          <w:rFonts w:cs="宋体" w:asciiTheme="minorEastAsia" w:hAnsiTheme="minorEastAsia"/>
          <w:kern w:val="0"/>
          <w:szCs w:val="21"/>
        </w:rPr>
        <w:t>宝鸡天王机械有限责任公司</w:t>
      </w:r>
      <w:r>
        <w:rPr>
          <w:rFonts w:hint="eastAsia" w:cs="宋体" w:asciiTheme="minorEastAsia" w:hAnsiTheme="minorEastAsia"/>
          <w:bCs/>
          <w:color w:val="000000" w:themeColor="text1"/>
          <w:kern w:val="0"/>
          <w:szCs w:val="21"/>
          <w:lang w:val="en-US" w:eastAsia="zh-CN"/>
        </w:rPr>
        <w:t>远程</w:t>
      </w:r>
      <w:r>
        <w:rPr>
          <w:rFonts w:hint="eastAsia" w:cs="宋体" w:asciiTheme="minorEastAsia" w:hAnsiTheme="minorEastAsia"/>
          <w:bCs/>
          <w:color w:val="000000" w:themeColor="text1"/>
          <w:kern w:val="0"/>
          <w:szCs w:val="21"/>
        </w:rPr>
        <w:t>监督</w:t>
      </w:r>
      <w:r>
        <w:rPr>
          <w:rFonts w:cs="宋体" w:asciiTheme="minorEastAsia" w:hAnsiTheme="minorEastAsia"/>
          <w:bCs/>
          <w:color w:val="000000" w:themeColor="text1"/>
          <w:kern w:val="0"/>
          <w:szCs w:val="21"/>
        </w:rPr>
        <w:t>审核</w:t>
      </w:r>
      <w:r>
        <w:rPr>
          <w:rFonts w:hint="eastAsia" w:cs="宋体" w:asciiTheme="minorEastAsia" w:hAnsiTheme="minorEastAsia"/>
          <w:bCs/>
          <w:color w:val="000000" w:themeColor="text1"/>
          <w:kern w:val="0"/>
          <w:szCs w:val="21"/>
        </w:rPr>
        <w:t>.</w:t>
      </w:r>
      <w:r>
        <w:rPr>
          <w:rFonts w:hint="eastAsia" w:ascii="宋体" w:hAnsi="宋体"/>
          <w:color w:val="000000" w:themeColor="text1"/>
          <w:szCs w:val="21"/>
          <w:lang w:val="en-US" w:eastAsia="zh-CN"/>
        </w:rPr>
        <w:t>采用腾讯会议及微信、手机视频， 通过审核电子文档、照片或截屏、视频等形式获取信息，</w:t>
      </w:r>
      <w:r>
        <w:rPr>
          <w:rFonts w:hint="eastAsia"/>
          <w:color w:val="000000" w:themeColor="text1"/>
          <w:szCs w:val="21"/>
        </w:rPr>
        <w:t>.验证了公司在去年一年内，测量管理体系运作情况，公司领导重视体系运行和管理，体系文件得到有效实施，企业管理规范，关键测量过程受控、监视方法正确有效，重要测量人员能力受控，测量设备、测量环境、测量软件、测量记录及外部供方管理等各项工作。综上所述，审核组认为</w:t>
      </w:r>
      <w:r>
        <w:rPr>
          <w:rFonts w:cs="宋体" w:asciiTheme="minorEastAsia" w:hAnsiTheme="minorEastAsia"/>
          <w:kern w:val="0"/>
          <w:szCs w:val="21"/>
        </w:rPr>
        <w:t>宝鸡天王机械有限责任公司</w:t>
      </w:r>
      <w:r>
        <w:rPr>
          <w:rFonts w:hint="eastAsia"/>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rPr>
          <w:rFonts w:hint="eastAsia"/>
          <w:color w:val="000000" w:themeColor="text1"/>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1478280</wp:posOffset>
            </wp:positionH>
            <wp:positionV relativeFrom="paragraph">
              <wp:posOffset>277495</wp:posOffset>
            </wp:positionV>
            <wp:extent cx="390525" cy="300355"/>
            <wp:effectExtent l="0" t="0" r="3175" b="444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90525" cy="300355"/>
                    </a:xfrm>
                    <a:prstGeom prst="rect">
                      <a:avLst/>
                    </a:prstGeom>
                  </pic:spPr>
                </pic:pic>
              </a:graphicData>
            </a:graphic>
          </wp:anchor>
        </w:drawing>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color w:val="000000" w:themeColor="text1"/>
          <w:szCs w:val="21"/>
        </w:rPr>
        <w:t>2</w:t>
      </w:r>
      <w:r>
        <w:rPr>
          <w:rFonts w:hint="eastAsia"/>
          <w:color w:val="000000" w:themeColor="text1"/>
          <w:szCs w:val="21"/>
          <w:lang w:val="en-US" w:eastAsia="zh-CN"/>
        </w:rPr>
        <w:t>022</w:t>
      </w:r>
      <w:r>
        <w:rPr>
          <w:rFonts w:hint="eastAsia"/>
          <w:color w:val="000000" w:themeColor="text1"/>
          <w:szCs w:val="21"/>
        </w:rPr>
        <w:t>年</w:t>
      </w:r>
      <w:r>
        <w:rPr>
          <w:rFonts w:hint="eastAsia"/>
          <w:color w:val="000000" w:themeColor="text1"/>
          <w:szCs w:val="21"/>
          <w:lang w:val="en-US" w:eastAsia="zh-CN"/>
        </w:rPr>
        <w:t>9</w:t>
      </w:r>
      <w:r>
        <w:rPr>
          <w:rFonts w:hint="eastAsia"/>
          <w:color w:val="000000" w:themeColor="text1"/>
          <w:szCs w:val="21"/>
        </w:rPr>
        <w:t>月</w:t>
      </w:r>
      <w:r>
        <w:rPr>
          <w:rFonts w:hint="eastAsia"/>
          <w:color w:val="000000" w:themeColor="text1"/>
          <w:szCs w:val="21"/>
          <w:lang w:val="en-US" w:eastAsia="zh-CN"/>
        </w:rPr>
        <w:t>8</w:t>
      </w:r>
      <w:r>
        <w:rPr>
          <w:rFonts w:hint="eastAsia"/>
          <w:color w:val="000000" w:themeColor="text1"/>
          <w:szCs w:val="21"/>
        </w:rPr>
        <w:t>日，</w:t>
      </w:r>
    </w:p>
    <w:p>
      <w:pPr>
        <w:widowControl/>
        <w:spacing w:line="360" w:lineRule="auto"/>
        <w:jc w:val="left"/>
        <w:rPr>
          <w:rFonts w:ascii="宋体" w:hAnsi="宋体" w:eastAsia="宋体" w:cs="宋体"/>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255413FC"/>
    <w:rsid w:val="48541DDA"/>
    <w:rsid w:val="72B839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2022-10-11T23:43:59Z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A54F166A3478460FBD44D8AE6CDBFD32</vt:lpwstr>
  </property>
</Properties>
</file>