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0618-2022-E0</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重庆东晟来电力设备有限公司</w:t>
      </w:r>
      <w:bookmarkEnd w:id="1"/>
    </w:p>
    <w:p>
      <w:pPr>
        <w:rPr>
          <w:sz w:val="28"/>
          <w:szCs w:val="28"/>
        </w:rPr>
      </w:pPr>
    </w:p>
    <w:p>
      <w:pPr>
        <w:rPr>
          <w:sz w:val="28"/>
          <w:szCs w:val="28"/>
        </w:rPr>
      </w:pPr>
      <w:r>
        <w:rPr>
          <w:rFonts w:hint="eastAsia"/>
          <w:sz w:val="28"/>
          <w:szCs w:val="28"/>
        </w:rPr>
        <w:t>审核体系：</w:t>
      </w:r>
    </w:p>
    <w:p>
      <w:pPr>
        <w:jc w:val="lef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□质量管理体系（QMS）</w:t>
      </w:r>
    </w:p>
    <w:p>
      <w:pPr>
        <w:jc w:val="left"/>
        <w:rPr>
          <w:sz w:val="28"/>
          <w:szCs w:val="28"/>
        </w:rPr>
      </w:pPr>
      <w:r>
        <w:rPr>
          <w:rFonts w:hint="eastAsia" w:ascii="Times New Roman" w:hAnsi="Times New Roman" w:eastAsia="宋体" w:cs="Times New Roman"/>
          <w:sz w:val="28"/>
          <w:szCs w:val="28"/>
        </w:rPr>
        <w:t>□工程</w:t>
      </w:r>
      <w:r>
        <w:rPr>
          <w:rFonts w:hint="eastAsia"/>
          <w:sz w:val="28"/>
          <w:szCs w:val="28"/>
        </w:rPr>
        <w:t>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重庆东晟来电力设备有限公司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重庆市九龙坡区渝州路51号附9号</w:t>
            </w:r>
            <w:bookmarkEnd w:id="5"/>
          </w:p>
        </w:tc>
        <w:tc>
          <w:tcPr>
            <w:tcW w:w="1242" w:type="dxa"/>
            <w:vMerge w:val="restart"/>
            <w:vAlign w:val="center"/>
          </w:tcPr>
          <w:p>
            <w:r>
              <w:rPr>
                <w:rFonts w:hint="eastAsia"/>
              </w:rPr>
              <w:t>邮编</w:t>
            </w:r>
          </w:p>
        </w:tc>
        <w:tc>
          <w:tcPr>
            <w:tcW w:w="1771" w:type="dxa"/>
          </w:tcPr>
          <w:p>
            <w:bookmarkStart w:id="6" w:name="注册邮编"/>
            <w:r>
              <w:t>400039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重庆市南岸区茶园新区樱花路1号4楼</w:t>
            </w:r>
            <w:bookmarkEnd w:id="7"/>
          </w:p>
        </w:tc>
        <w:tc>
          <w:tcPr>
            <w:tcW w:w="1242" w:type="dxa"/>
            <w:vMerge w:val="continue"/>
            <w:vAlign w:val="center"/>
          </w:tcPr>
          <w:p/>
        </w:tc>
        <w:tc>
          <w:tcPr>
            <w:tcW w:w="1771" w:type="dxa"/>
          </w:tcPr>
          <w:p>
            <w:bookmarkStart w:id="8" w:name="办公邮编"/>
            <w:r>
              <w:t>401336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何柳</w:t>
            </w:r>
            <w:bookmarkEnd w:id="9"/>
          </w:p>
        </w:tc>
        <w:tc>
          <w:tcPr>
            <w:tcW w:w="1313" w:type="dxa"/>
            <w:vAlign w:val="center"/>
          </w:tcPr>
          <w:p>
            <w:r>
              <w:rPr>
                <w:rFonts w:hint="eastAsia"/>
              </w:rPr>
              <w:t>电话.</w:t>
            </w:r>
          </w:p>
        </w:tc>
        <w:tc>
          <w:tcPr>
            <w:tcW w:w="2180" w:type="dxa"/>
            <w:vAlign w:val="center"/>
          </w:tcPr>
          <w:p>
            <w:bookmarkStart w:id="10" w:name="联系人电话"/>
            <w:r>
              <w:t>15730375353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熊良东</w:t>
            </w:r>
            <w:bookmarkEnd w:id="12"/>
          </w:p>
        </w:tc>
        <w:tc>
          <w:tcPr>
            <w:tcW w:w="1313" w:type="dxa"/>
            <w:vAlign w:val="center"/>
          </w:tcPr>
          <w:p>
            <w:r>
              <w:rPr>
                <w:rFonts w:hint="eastAsia"/>
              </w:rPr>
              <w:t>管理者代表</w:t>
            </w:r>
          </w:p>
        </w:tc>
        <w:tc>
          <w:tcPr>
            <w:tcW w:w="2180" w:type="dxa"/>
          </w:tcPr>
          <w:p>
            <w:bookmarkStart w:id="13" w:name="管理者代表"/>
            <w:r>
              <w:t>熊良东</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sz w:val="21"/>
                <w:szCs w:val="21"/>
              </w:rPr>
            </w:pPr>
            <w:r>
              <w:rPr>
                <w:rFonts w:hint="eastAsia" w:ascii="宋体" w:hAnsi="宋体"/>
                <w:sz w:val="21"/>
                <w:szCs w:val="21"/>
              </w:rPr>
              <w:t>电力工程施工、承装、承修、承试流程：</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rPr>
            </w:pPr>
            <w:r>
              <w:rPr>
                <w:rFonts w:hint="eastAsia" w:ascii="宋体" w:hAnsi="宋体"/>
                <w:sz w:val="21"/>
                <w:szCs w:val="21"/>
              </w:rPr>
              <w:t>签订合同——施工组织设计——图纸会审——进场报验——技术交底——现场施工——阶段验收——预验收——竣工验收——移交。</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sz w:val="21"/>
                <w:szCs w:val="21"/>
              </w:rPr>
            </w:pPr>
            <w:r>
              <w:rPr>
                <w:rFonts w:hint="eastAsia" w:ascii="宋体" w:hAnsi="宋体"/>
                <w:sz w:val="21"/>
                <w:szCs w:val="21"/>
              </w:rPr>
              <w:t>电力技术服务流程:</w:t>
            </w:r>
          </w:p>
          <w:p>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ascii="宋体" w:hAnsi="宋体"/>
                <w:sz w:val="21"/>
                <w:szCs w:val="21"/>
              </w:rPr>
              <w:t>服务需求——提供方案——签订协议——实施合同/协议——管理服务。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2022年09月07日 上午至2022年09月09日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ascii="宋体" w:hAnsi="宋体" w:eastAsia="宋体" w:cs="宋体"/>
                <w:lang w:val="de-DE"/>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ascii="宋体" w:hAnsi="宋体" w:eastAsia="宋体" w:cs="宋体"/>
                <w:lang w:val="de-DE"/>
              </w:rPr>
              <w:t>■</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color w:val="auto"/>
                <w:sz w:val="20"/>
              </w:rPr>
              <w:t>重庆市南岸区茶园新区樱花路1号4楼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4" w:name="审核范围"/>
            <w:r>
              <w:t>E：资质范围内电力工程施工、承装、承修、承试、电力技术服务所涉及场所的相关环境管理活动</w:t>
            </w:r>
          </w:p>
          <w:p>
            <w:r>
              <w:t>O：资质范围内电力工程施工、承装、承修、承试、电力技术服务所涉及场所的相关环境管理活动</w:t>
            </w:r>
            <w:bookmarkEnd w:id="2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5" w:name="专业代码"/>
            <w:r>
              <w:t>E：28.04.02;34.06.00</w:t>
            </w:r>
          </w:p>
          <w:p>
            <w:r>
              <w:t>O：28.04.02;34.06.00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pPr>
              <w:rPr>
                <w:rFonts w:hint="eastAsia"/>
              </w:rPr>
            </w:pPr>
          </w:p>
        </w:tc>
        <w:tc>
          <w:tcPr>
            <w:tcW w:w="1883" w:type="dxa"/>
            <w:vAlign w:val="center"/>
          </w:tcPr>
          <w:p>
            <w:pPr>
              <w:rPr>
                <w:rFonts w:hint="eastAsia"/>
              </w:rPr>
            </w:pPr>
            <w:r>
              <w:rPr>
                <w:rFonts w:hint="eastAsia"/>
              </w:rPr>
              <w:t>管理体系运行已超过3个月</w:t>
            </w:r>
          </w:p>
        </w:tc>
        <w:tc>
          <w:tcPr>
            <w:tcW w:w="3215" w:type="dxa"/>
            <w:vAlign w:val="center"/>
          </w:tcPr>
          <w:p>
            <w:pPr>
              <w:rPr>
                <w:rFonts w:hint="eastAsia"/>
              </w:rPr>
            </w:pPr>
            <w:r>
              <w:rPr>
                <w:rFonts w:hint="eastAsia"/>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rPr>
            </w:pPr>
            <w:r>
              <w:rPr>
                <w:rFonts w:hint="eastAsia"/>
              </w:rPr>
              <w:t>2021年10月13日</w:t>
            </w:r>
          </w:p>
        </w:tc>
        <w:tc>
          <w:tcPr>
            <w:tcW w:w="1883" w:type="dxa"/>
            <w:vAlign w:val="center"/>
          </w:tcPr>
          <w:p>
            <w:pPr>
              <w:rPr>
                <w:rFonts w:hint="eastAsia"/>
              </w:rPr>
            </w:pPr>
            <w:r>
              <w:rPr>
                <w:rFonts w:hint="eastAsia"/>
              </w:rPr>
              <w:t>认证证书有效期</w:t>
            </w:r>
          </w:p>
          <w:p>
            <w:pPr>
              <w:rPr>
                <w:rFonts w:hint="eastAsia"/>
              </w:rPr>
            </w:pPr>
            <w:r>
              <w:rPr>
                <w:rFonts w:hint="eastAsia"/>
              </w:rPr>
              <w:t>（初审除外）</w:t>
            </w:r>
          </w:p>
        </w:tc>
        <w:tc>
          <w:tcPr>
            <w:tcW w:w="3215" w:type="dxa"/>
            <w:vAlign w:val="center"/>
          </w:tcPr>
          <w:p>
            <w:pPr>
              <w:rPr>
                <w:rFonts w:hint="eastAsia"/>
              </w:rPr>
            </w:pPr>
            <w:r>
              <w:rPr>
                <w:rFonts w:hint="eastAsia"/>
              </w:rPr>
              <w:t>有效至2022-10-08</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59"/>
        <w:gridCol w:w="1282"/>
        <w:gridCol w:w="1724"/>
        <w:gridCol w:w="184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59" w:type="dxa"/>
            <w:shd w:val="clear" w:color="auto" w:fill="F3F3F3"/>
            <w:tcMar>
              <w:left w:w="57" w:type="dxa"/>
              <w:right w:w="57" w:type="dxa"/>
            </w:tcMar>
          </w:tcPr>
          <w:p>
            <w:r>
              <w:rPr>
                <w:rFonts w:hint="eastAsia"/>
              </w:rPr>
              <w:t>经营场所的地址</w:t>
            </w:r>
          </w:p>
          <w:p>
            <w:r>
              <w:rPr>
                <w:rFonts w:hint="eastAsia"/>
              </w:rPr>
              <w:t>（多现场和临时现场）</w:t>
            </w:r>
          </w:p>
        </w:tc>
        <w:tc>
          <w:tcPr>
            <w:tcW w:w="1282" w:type="dxa"/>
            <w:shd w:val="clear" w:color="auto" w:fill="F3F3F3"/>
            <w:tcMar>
              <w:left w:w="57" w:type="dxa"/>
              <w:right w:w="57" w:type="dxa"/>
            </w:tcMar>
          </w:tcPr>
          <w:p>
            <w:r>
              <w:rPr>
                <w:rFonts w:hint="eastAsia"/>
              </w:rPr>
              <w:t>员工人数</w:t>
            </w:r>
          </w:p>
        </w:tc>
        <w:tc>
          <w:tcPr>
            <w:tcW w:w="1724" w:type="dxa"/>
            <w:shd w:val="clear" w:color="auto" w:fill="F3F3F3"/>
            <w:tcMar>
              <w:left w:w="57" w:type="dxa"/>
              <w:right w:w="57" w:type="dxa"/>
            </w:tcMar>
          </w:tcPr>
          <w:p>
            <w:r>
              <w:rPr>
                <w:rFonts w:hint="eastAsia"/>
              </w:rPr>
              <w:t>审核范围（产品和过程）</w:t>
            </w:r>
          </w:p>
          <w:p/>
          <w:p/>
        </w:tc>
        <w:tc>
          <w:tcPr>
            <w:tcW w:w="184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color w:val="auto"/>
                <w:sz w:val="21"/>
                <w:szCs w:val="21"/>
              </w:rPr>
              <w:t>重庆东晟来电力设备有限公司</w:t>
            </w:r>
            <w:r>
              <w:rPr>
                <w:rFonts w:hint="eastAsia"/>
                <w:color w:val="auto"/>
                <w:sz w:val="21"/>
                <w:szCs w:val="21"/>
                <w:lang w:val="en-US" w:eastAsia="zh-CN"/>
              </w:rPr>
              <w:t>/</w:t>
            </w:r>
            <w:r>
              <w:rPr>
                <w:rFonts w:asciiTheme="minorEastAsia" w:hAnsiTheme="minorEastAsia" w:eastAsiaTheme="minorEastAsia"/>
                <w:color w:val="auto"/>
                <w:sz w:val="20"/>
              </w:rPr>
              <w:t>重庆市九龙坡区渝州路51号附9号</w:t>
            </w:r>
          </w:p>
        </w:tc>
        <w:tc>
          <w:tcPr>
            <w:tcW w:w="1459" w:type="dxa"/>
          </w:tcPr>
          <w:p>
            <w:pPr>
              <w:rPr>
                <w:lang w:val="de-DE" w:eastAsia="ja-JP"/>
              </w:rPr>
            </w:pPr>
            <w:r>
              <w:rPr>
                <w:rFonts w:asciiTheme="minorEastAsia" w:hAnsiTheme="minorEastAsia" w:eastAsiaTheme="minorEastAsia"/>
                <w:color w:val="auto"/>
                <w:sz w:val="20"/>
              </w:rPr>
              <w:t>重庆市南岸区茶园新区樱花路1号4楼</w:t>
            </w:r>
          </w:p>
        </w:tc>
        <w:tc>
          <w:tcPr>
            <w:tcW w:w="1282" w:type="dxa"/>
            <w:vAlign w:val="center"/>
          </w:tcPr>
          <w:p>
            <w:pPr>
              <w:rPr>
                <w:rFonts w:hint="default" w:eastAsia="宋体"/>
                <w:lang w:val="en-US" w:eastAsia="zh-CN"/>
              </w:rPr>
            </w:pPr>
            <w:r>
              <w:rPr>
                <w:rFonts w:hint="eastAsia"/>
                <w:lang w:val="en-US" w:eastAsia="zh-CN"/>
              </w:rPr>
              <w:t>总人数85（含临时场所70人）</w:t>
            </w:r>
          </w:p>
        </w:tc>
        <w:tc>
          <w:tcPr>
            <w:tcW w:w="1724" w:type="dxa"/>
            <w:vAlign w:val="center"/>
          </w:tcPr>
          <w:p>
            <w:pPr>
              <w:rPr>
                <w:lang w:eastAsia="ja-JP"/>
              </w:rPr>
            </w:pPr>
            <w:r>
              <w:rPr>
                <w:rFonts w:ascii="宋体" w:hAnsi="宋体" w:cs="宋体"/>
                <w:color w:val="000000"/>
                <w:kern w:val="0"/>
                <w:szCs w:val="21"/>
              </w:rPr>
              <w:t>资质范围内电力工程施工、承装、承修、承试、电力技术服务</w:t>
            </w:r>
          </w:p>
        </w:tc>
        <w:tc>
          <w:tcPr>
            <w:tcW w:w="1845" w:type="dxa"/>
            <w:vAlign w:val="top"/>
          </w:tcPr>
          <w:p>
            <w:pPr>
              <w:spacing w:before="40" w:after="40"/>
              <w:jc w:val="both"/>
              <w:rPr>
                <w:rFonts w:hint="eastAsia" w:ascii="宋体" w:hAnsi="宋体"/>
                <w:b w:val="0"/>
                <w:bCs/>
                <w:szCs w:val="21"/>
                <w:highlight w:val="none"/>
              </w:rPr>
            </w:pPr>
            <w:r>
              <w:rPr>
                <w:rFonts w:hint="eastAsia" w:ascii="宋体" w:hAnsi="宋体"/>
                <w:b w:val="0"/>
                <w:bCs/>
                <w:szCs w:val="21"/>
                <w:highlight w:val="none"/>
              </w:rPr>
              <w:t xml:space="preserve">GB/T24001-2016 </w:t>
            </w:r>
          </w:p>
          <w:p>
            <w:pPr>
              <w:spacing w:before="40" w:after="40"/>
              <w:jc w:val="both"/>
              <w:rPr>
                <w:lang w:eastAsia="ja-JP"/>
              </w:rPr>
            </w:pPr>
            <w:r>
              <w:rPr>
                <w:rFonts w:hint="eastAsia" w:ascii="宋体" w:hAnsi="宋体"/>
                <w:b w:val="0"/>
                <w:bCs/>
                <w:szCs w:val="21"/>
                <w:highlight w:val="none"/>
              </w:rPr>
              <w:t>GB/T45001-2020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color w:val="auto"/>
                <w:sz w:val="21"/>
                <w:szCs w:val="21"/>
              </w:rPr>
              <w:t>重庆东晟来电力设备有限公司</w:t>
            </w:r>
            <w:r>
              <w:rPr>
                <w:rFonts w:hint="eastAsia"/>
                <w:color w:val="auto"/>
                <w:sz w:val="21"/>
                <w:szCs w:val="21"/>
                <w:lang w:val="en-US" w:eastAsia="zh-CN"/>
              </w:rPr>
              <w:t>/</w:t>
            </w:r>
            <w:r>
              <w:rPr>
                <w:rFonts w:asciiTheme="minorEastAsia" w:hAnsiTheme="minorEastAsia" w:eastAsiaTheme="minorEastAsia"/>
                <w:color w:val="auto"/>
                <w:sz w:val="20"/>
              </w:rPr>
              <w:t>重庆市九龙坡区渝州路51号附9号</w:t>
            </w:r>
          </w:p>
        </w:tc>
        <w:tc>
          <w:tcPr>
            <w:tcW w:w="1459" w:type="dxa"/>
            <w:vAlign w:val="center"/>
          </w:tcPr>
          <w:p>
            <w:pPr>
              <w:rPr>
                <w:lang w:eastAsia="ja-JP"/>
              </w:rPr>
            </w:pPr>
            <w:r>
              <w:rPr>
                <w:rFonts w:hint="eastAsia" w:ascii="Times New Roman"/>
                <w:sz w:val="20"/>
                <w:highlight w:val="none"/>
                <w:lang w:val="en-US" w:eastAsia="zh-CN"/>
              </w:rPr>
              <w:t>临时场所：</w:t>
            </w:r>
            <w:r>
              <w:rPr>
                <w:rFonts w:hint="eastAsia" w:ascii="Times New Roman"/>
                <w:sz w:val="20"/>
                <w:highlight w:val="none"/>
              </w:rPr>
              <w:t>重庆市大渡口区铜桥路</w:t>
            </w:r>
          </w:p>
        </w:tc>
        <w:tc>
          <w:tcPr>
            <w:tcW w:w="1282" w:type="dxa"/>
            <w:vAlign w:val="center"/>
          </w:tcPr>
          <w:p>
            <w:pPr>
              <w:rPr>
                <w:lang w:eastAsia="ja-JP"/>
              </w:rPr>
            </w:pPr>
            <w:r>
              <w:rPr>
                <w:rFonts w:hint="eastAsia"/>
                <w:lang w:val="en-US" w:eastAsia="zh-CN"/>
              </w:rPr>
              <w:t>70人</w:t>
            </w:r>
          </w:p>
        </w:tc>
        <w:tc>
          <w:tcPr>
            <w:tcW w:w="1724" w:type="dxa"/>
            <w:vAlign w:val="center"/>
          </w:tcPr>
          <w:p>
            <w:pPr>
              <w:rPr>
                <w:lang w:eastAsia="ja-JP"/>
              </w:rPr>
            </w:pPr>
            <w:r>
              <w:rPr>
                <w:rFonts w:ascii="宋体" w:hAnsi="宋体" w:cs="宋体"/>
                <w:color w:val="000000"/>
                <w:kern w:val="0"/>
                <w:szCs w:val="21"/>
              </w:rPr>
              <w:t>电力工程施工</w:t>
            </w:r>
          </w:p>
        </w:tc>
        <w:tc>
          <w:tcPr>
            <w:tcW w:w="1845" w:type="dxa"/>
            <w:vAlign w:val="top"/>
          </w:tcPr>
          <w:p>
            <w:pPr>
              <w:spacing w:before="40" w:after="40"/>
              <w:jc w:val="both"/>
              <w:rPr>
                <w:rFonts w:hint="eastAsia" w:ascii="宋体" w:hAnsi="宋体"/>
                <w:b w:val="0"/>
                <w:bCs/>
                <w:szCs w:val="21"/>
                <w:highlight w:val="none"/>
              </w:rPr>
            </w:pPr>
            <w:r>
              <w:rPr>
                <w:rFonts w:hint="eastAsia" w:ascii="宋体" w:hAnsi="宋体"/>
                <w:b w:val="0"/>
                <w:bCs/>
                <w:szCs w:val="21"/>
                <w:highlight w:val="none"/>
              </w:rPr>
              <w:t xml:space="preserve">GB/T24001-2016 </w:t>
            </w:r>
          </w:p>
          <w:p>
            <w:pPr>
              <w:spacing w:before="40" w:after="40"/>
              <w:jc w:val="both"/>
              <w:rPr>
                <w:lang w:eastAsia="ja-JP"/>
              </w:rPr>
            </w:pPr>
            <w:r>
              <w:rPr>
                <w:rFonts w:hint="eastAsia" w:ascii="宋体" w:hAnsi="宋体"/>
                <w:b w:val="0"/>
                <w:bCs/>
                <w:szCs w:val="21"/>
                <w:highlight w:val="none"/>
              </w:rPr>
              <w:t>GB/T45001-2020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59" w:type="dxa"/>
            <w:vAlign w:val="center"/>
          </w:tcPr>
          <w:p>
            <w:pPr>
              <w:rPr>
                <w:lang w:eastAsia="ja-JP"/>
              </w:rPr>
            </w:pPr>
          </w:p>
        </w:tc>
        <w:tc>
          <w:tcPr>
            <w:tcW w:w="1282" w:type="dxa"/>
            <w:vAlign w:val="center"/>
          </w:tcPr>
          <w:p>
            <w:pPr>
              <w:rPr>
                <w:lang w:eastAsia="ja-JP"/>
              </w:rPr>
            </w:pPr>
          </w:p>
        </w:tc>
        <w:tc>
          <w:tcPr>
            <w:tcW w:w="1724" w:type="dxa"/>
            <w:vAlign w:val="center"/>
          </w:tcPr>
          <w:p>
            <w:pPr>
              <w:rPr>
                <w:lang w:eastAsia="ja-JP"/>
              </w:rPr>
            </w:pPr>
          </w:p>
        </w:tc>
        <w:tc>
          <w:tcPr>
            <w:tcW w:w="184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59" w:type="dxa"/>
            <w:vAlign w:val="center"/>
          </w:tcPr>
          <w:p>
            <w:pPr>
              <w:rPr>
                <w:lang w:eastAsia="ja-JP"/>
              </w:rPr>
            </w:pPr>
          </w:p>
        </w:tc>
        <w:tc>
          <w:tcPr>
            <w:tcW w:w="1282" w:type="dxa"/>
            <w:vAlign w:val="center"/>
          </w:tcPr>
          <w:p>
            <w:pPr>
              <w:rPr>
                <w:lang w:eastAsia="ja-JP"/>
              </w:rPr>
            </w:pPr>
          </w:p>
        </w:tc>
        <w:tc>
          <w:tcPr>
            <w:tcW w:w="1724" w:type="dxa"/>
            <w:vAlign w:val="center"/>
          </w:tcPr>
          <w:p>
            <w:pPr>
              <w:rPr>
                <w:lang w:eastAsia="ja-JP"/>
              </w:rPr>
            </w:pPr>
          </w:p>
        </w:tc>
        <w:tc>
          <w:tcPr>
            <w:tcW w:w="184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59" w:type="dxa"/>
            <w:vAlign w:val="center"/>
          </w:tcPr>
          <w:p>
            <w:pPr>
              <w:rPr>
                <w:lang w:eastAsia="ja-JP"/>
              </w:rPr>
            </w:pPr>
          </w:p>
        </w:tc>
        <w:tc>
          <w:tcPr>
            <w:tcW w:w="1282" w:type="dxa"/>
            <w:vAlign w:val="center"/>
          </w:tcPr>
          <w:p>
            <w:pPr>
              <w:rPr>
                <w:lang w:eastAsia="ja-JP"/>
              </w:rPr>
            </w:pPr>
          </w:p>
        </w:tc>
        <w:tc>
          <w:tcPr>
            <w:tcW w:w="1724" w:type="dxa"/>
            <w:vAlign w:val="center"/>
          </w:tcPr>
          <w:p>
            <w:pPr>
              <w:rPr>
                <w:lang w:eastAsia="ja-JP"/>
              </w:rPr>
            </w:pPr>
          </w:p>
        </w:tc>
        <w:tc>
          <w:tcPr>
            <w:tcW w:w="184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2021-N1EMS-3093566</w:t>
            </w:r>
          </w:p>
          <w:p>
            <w:r>
              <w:t>2022-N1OHSMS-3093566</w:t>
            </w:r>
          </w:p>
        </w:tc>
        <w:tc>
          <w:tcPr>
            <w:tcW w:w="2179" w:type="dxa"/>
            <w:vAlign w:val="center"/>
          </w:tcPr>
          <w:p>
            <w:r>
              <w:t>E:28.04.02,34.06.00</w:t>
            </w:r>
          </w:p>
          <w:p>
            <w:r>
              <w:t>O:28.04.02,34.06.00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E:34.06.00</w:t>
            </w:r>
          </w:p>
          <w:p>
            <w: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原人数：65人，现人数为：85人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cs="Times New Roman"/>
                <w:color w:val="000000" w:themeColor="text1"/>
                <w:sz w:val="21"/>
                <w:szCs w:val="21"/>
                <w:highlight w:val="no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上次不符合项为工程部O:8.1条款，经本次现场验证整改有效，无类似情况发生。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6" w:name="Q勾选Add2"/>
            <w:r>
              <w:rPr>
                <w:rFonts w:hint="eastAsia"/>
              </w:rPr>
              <w:t>□</w:t>
            </w:r>
            <w:bookmarkEnd w:id="2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color w:val="auto"/>
                <w:sz w:val="20"/>
              </w:rPr>
              <w:t>资质范围内电力工程施工、承装、承修、承试、电力技术服务所涉及场所的相关环境管理活动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color w:val="auto"/>
                <w:sz w:val="20"/>
              </w:rPr>
              <w:t>资质范围内电力工程施工、承装、承修、承试、电力技术服务所涉及场所的相关环境管理活动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在完成纠正措施后推荐保持认证注册(□监督审核</w:t>
            </w:r>
            <w:r>
              <w:rPr>
                <w:rFonts w:hint="eastAsia" w:ascii="宋体" w:hAnsi="宋体" w:eastAsia="宋体" w:cs="宋体"/>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b/>
                <w:kern w:val="0"/>
                <w:sz w:val="20"/>
                <w:szCs w:val="20"/>
                <w:lang w:eastAsia="zh-CN"/>
              </w:rPr>
              <w:drawing>
                <wp:anchor distT="0" distB="0" distL="114300" distR="114300" simplePos="0" relativeHeight="251661312" behindDoc="0" locked="0" layoutInCell="1" allowOverlap="1">
                  <wp:simplePos x="0" y="0"/>
                  <wp:positionH relativeFrom="column">
                    <wp:posOffset>603250</wp:posOffset>
                  </wp:positionH>
                  <wp:positionV relativeFrom="paragraph">
                    <wp:posOffset>40640</wp:posOffset>
                  </wp:positionV>
                  <wp:extent cx="344170" cy="375920"/>
                  <wp:effectExtent l="0" t="0" r="11430" b="5080"/>
                  <wp:wrapNone/>
                  <wp:docPr id="1"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png"/>
                          <pic:cNvPicPr>
                            <a:picLocks noChangeAspect="1"/>
                          </pic:cNvPicPr>
                        </pic:nvPicPr>
                        <pic:blipFill>
                          <a:blip r:embed="rId6"/>
                          <a:stretch>
                            <a:fillRect/>
                          </a:stretch>
                        </pic:blipFill>
                        <pic:spPr>
                          <a:xfrm>
                            <a:off x="0" y="0"/>
                            <a:ext cx="344170" cy="375920"/>
                          </a:xfrm>
                          <a:prstGeom prst="rect">
                            <a:avLst/>
                          </a:prstGeom>
                          <a:noFill/>
                          <a:ln>
                            <a:noFill/>
                          </a:ln>
                        </pic:spPr>
                      </pic:pic>
                    </a:graphicData>
                  </a:graphic>
                </wp:anchor>
              </w:drawing>
            </w:r>
          </w:p>
          <w:p/>
        </w:tc>
        <w:tc>
          <w:tcPr>
            <w:tcW w:w="2764" w:type="dxa"/>
            <w:tcMar>
              <w:left w:w="113" w:type="dxa"/>
            </w:tcMar>
          </w:tcPr>
          <w:p>
            <w:pPr>
              <w:rPr>
                <w:rFonts w:hint="eastAsia"/>
              </w:rPr>
            </w:pPr>
            <w:r>
              <w:rPr>
                <w:rFonts w:hint="eastAsia"/>
              </w:rPr>
              <w:t>日期</w:t>
            </w:r>
          </w:p>
        </w:tc>
        <w:tc>
          <w:tcPr>
            <w:tcW w:w="2766" w:type="dxa"/>
            <w:tcMar>
              <w:left w:w="113" w:type="dxa"/>
            </w:tcMar>
            <w:vAlign w:val="center"/>
          </w:tcPr>
          <w:p>
            <w:pPr>
              <w:rPr>
                <w:rFonts w:hint="eastAsia"/>
              </w:rPr>
            </w:pPr>
            <w:r>
              <w:rPr>
                <w:rFonts w:hint="eastAsia"/>
              </w:rPr>
              <w:t>2022年09月09日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11"/>
        <w:tblpPr w:leftFromText="180" w:rightFromText="180" w:vertAnchor="text" w:horzAnchor="page" w:tblpX="1051" w:tblpY="-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default" w:eastAsia="宋体"/>
                <w:lang w:val="en-US"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cs="Times New Roman"/>
                <w:u w:val="single"/>
                <w:lang w:val="en-GB" w:eastAsia="zh-CN"/>
              </w:rPr>
              <w:t>保障安全  预防污染  遵守法规  持续改进。</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噪音排放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eastAsia" w:cs="Times New Roman" w:asciiTheme="minorEastAsia" w:hAnsiTheme="minorEastAsia" w:eastAsiaTheme="minorEastAsia"/>
                      <w:b w:val="0"/>
                      <w:bCs w:val="0"/>
                      <w:sz w:val="21"/>
                      <w:szCs w:val="21"/>
                      <w:lang w:val="en-US" w:eastAsia="zh-CN"/>
                    </w:rPr>
                    <w:t>固废排放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资源消耗</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r>
                    <w:rPr>
                      <w:rFonts w:hint="default" w:cs="Times New Roman" w:asciiTheme="minorEastAsia" w:hAnsiTheme="minorEastAsia" w:eastAsiaTheme="minorEastAsia"/>
                      <w:b w:val="0"/>
                      <w:bCs w:val="0"/>
                      <w:sz w:val="21"/>
                      <w:szCs w:val="21"/>
                      <w:lang w:val="en-US" w:eastAsia="zh-CN"/>
                    </w:rPr>
                    <w:t>火灾、爆炸的发生</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lang w:val="en-US" w:eastAsia="zh-CN"/>
                    </w:rPr>
                  </w:pP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highlight w:val="none"/>
              </w:rPr>
            </w:pPr>
            <w:r>
              <w:rPr>
                <w:rFonts w:hint="eastAsia"/>
                <w:highlight w:val="none"/>
              </w:rPr>
              <w:t xml:space="preserve">、异常状况和可合理预见的紧急情况。 </w:t>
            </w:r>
          </w:p>
          <w:p>
            <w:pPr>
              <w:shd w:val="clear" w:color="auto" w:fill="EBF1DE" w:themeFill="accent3" w:themeFillTint="32"/>
              <w:rPr>
                <w:highlight w:val="none"/>
              </w:rPr>
            </w:pPr>
            <w:r>
              <w:rPr>
                <w:rFonts w:hint="eastAsia"/>
                <w:highlight w:val="none"/>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highlight w:val="none"/>
              </w:rPr>
              <w:t>重要环境因素包括(必要时，按每个场所来描述):（不必全选）</w:t>
            </w:r>
          </w:p>
          <w:p>
            <w:pPr>
              <w:shd w:val="clear" w:color="auto" w:fill="EBF1DE" w:themeFill="accent3" w:themeFillTint="32"/>
              <w:spacing w:before="40" w:after="40"/>
              <w:rPr>
                <w:rFonts w:hint="eastAsia" w:eastAsia="宋体"/>
                <w:highlight w:val="none"/>
                <w:lang w:eastAsia="zh-CN"/>
              </w:rPr>
            </w:pPr>
            <w:r>
              <w:rPr>
                <w:rFonts w:hint="eastAsia"/>
                <w:highlight w:val="none"/>
                <w:lang w:eastAsia="zh-CN"/>
              </w:rPr>
              <w:t>■</w:t>
            </w:r>
            <w:r>
              <w:rPr>
                <w:rFonts w:hint="eastAsia"/>
                <w:highlight w:val="none"/>
              </w:rPr>
              <w:t xml:space="preserve">能源消耗  </w:t>
            </w:r>
            <w:r>
              <w:rPr>
                <w:rFonts w:hint="eastAsia"/>
                <w:highlight w:val="none"/>
                <w:lang w:eastAsia="zh-CN"/>
              </w:rPr>
              <w:t>■</w:t>
            </w:r>
            <w:r>
              <w:rPr>
                <w:rFonts w:hint="eastAsia"/>
                <w:highlight w:val="none"/>
              </w:rPr>
              <w:t xml:space="preserve">资源消耗 □废水排放  □废气排放 □粉尘排放  </w:t>
            </w:r>
            <w:r>
              <w:rPr>
                <w:rFonts w:hint="eastAsia"/>
                <w:highlight w:val="none"/>
                <w:lang w:eastAsia="zh-CN"/>
              </w:rPr>
              <w:t>□</w:t>
            </w:r>
            <w:r>
              <w:rPr>
                <w:rFonts w:hint="eastAsia"/>
                <w:highlight w:val="none"/>
              </w:rPr>
              <w:t xml:space="preserve">危废排放 </w:t>
            </w:r>
            <w:r>
              <w:rPr>
                <w:rFonts w:hint="eastAsia" w:ascii="宋体" w:hAnsi="宋体" w:eastAsia="宋体" w:cs="宋体"/>
                <w:highlight w:val="none"/>
              </w:rPr>
              <w:t>■</w:t>
            </w:r>
            <w:r>
              <w:rPr>
                <w:rFonts w:hint="eastAsia"/>
                <w:highlight w:val="none"/>
              </w:rPr>
              <w:t xml:space="preserve">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Times New Roman" w:hAnsi="Times New Roman" w:cs="Times New Roman"/>
                <w:highlight w:val="none"/>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与其环境因素有关的</w:t>
            </w:r>
            <w:r>
              <w:rPr>
                <w:rFonts w:hint="eastAsia"/>
                <w:highlight w:val="none"/>
              </w:rPr>
              <w:t>文件化的</w:t>
            </w:r>
            <w:r>
              <w:rPr>
                <w:highlight w:val="none"/>
              </w:rPr>
              <w:t>合规义务； 将这些合规义务应用于组织； 在建立、实施、保持和持续改进其环境管理体系时必须考虑这些合规义务。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安全生产许可证编号：</w:t>
            </w:r>
            <w:r>
              <w:rPr>
                <w:rFonts w:hint="eastAsia"/>
                <w:color w:val="000000"/>
                <w:szCs w:val="21"/>
                <w:highlight w:val="none"/>
                <w:u w:val="single"/>
                <w:lang w:eastAsia="zh-CN"/>
              </w:rPr>
              <w:t>（渝）JZ安许证字（2018）010935</w:t>
            </w:r>
            <w:r>
              <w:rPr>
                <w:color w:val="000000"/>
                <w:szCs w:val="21"/>
                <w:highlight w:val="none"/>
                <w:u w:val="single"/>
              </w:rPr>
              <w:t xml:space="preserve"> </w:t>
            </w:r>
          </w:p>
          <w:p>
            <w:pPr>
              <w:shd w:val="clear" w:color="auto" w:fill="EBF1DE" w:themeFill="accent3" w:themeFillTint="32"/>
              <w:rPr>
                <w:highlight w:val="none"/>
              </w:rPr>
            </w:pPr>
            <w:r>
              <w:rPr>
                <w:rFonts w:hint="eastAsia"/>
                <w:highlight w:val="none"/>
              </w:rPr>
              <w:t xml:space="preserve">□排污许可证编号： </w:t>
            </w:r>
            <w:r>
              <w:rPr>
                <w:rFonts w:hint="eastAsia"/>
                <w:highlight w:val="none"/>
                <w:u w:val="single"/>
              </w:rPr>
              <w:t xml:space="preserve">                  </w:t>
            </w:r>
          </w:p>
          <w:p>
            <w:pPr>
              <w:shd w:val="clear" w:color="auto" w:fill="EBF1DE" w:themeFill="accent3" w:themeFillTint="32"/>
              <w:rPr>
                <w:highlight w:val="none"/>
              </w:rPr>
            </w:pPr>
            <w:r>
              <w:rPr>
                <w:rFonts w:hint="eastAsia"/>
                <w:highlight w:val="none"/>
              </w:rPr>
              <w:t>□环境影响登记表日期：</w:t>
            </w:r>
            <w:r>
              <w:rPr>
                <w:rFonts w:hint="eastAsia"/>
                <w:highlight w:val="none"/>
                <w:u w:val="single"/>
              </w:rPr>
              <w:t xml:space="preserve">                     </w:t>
            </w:r>
            <w:r>
              <w:rPr>
                <w:rFonts w:hint="eastAsia"/>
                <w:highlight w:val="none"/>
              </w:rPr>
              <w:t xml:space="preserve">  </w:t>
            </w:r>
          </w:p>
          <w:p>
            <w:pPr>
              <w:shd w:val="clear" w:color="auto" w:fill="EBF1DE" w:themeFill="accent3" w:themeFillTint="32"/>
              <w:rPr>
                <w:highlight w:val="none"/>
              </w:rPr>
            </w:pPr>
            <w:r>
              <w:rPr>
                <w:rFonts w:hint="eastAsia"/>
                <w:highlight w:val="none"/>
              </w:rPr>
              <w:t>□环境影响报告表日期：</w:t>
            </w:r>
            <w:r>
              <w:rPr>
                <w:rFonts w:hint="eastAsia"/>
                <w:highlight w:val="none"/>
                <w:u w:val="single"/>
              </w:rPr>
              <w:t xml:space="preserve">                     </w:t>
            </w:r>
            <w:r>
              <w:rPr>
                <w:rFonts w:hint="eastAsia"/>
                <w:highlight w:val="none"/>
              </w:rPr>
              <w:t xml:space="preserve"> </w:t>
            </w:r>
          </w:p>
          <w:p>
            <w:pPr>
              <w:shd w:val="clear" w:color="auto" w:fill="EBF1DE" w:themeFill="accent3" w:themeFillTint="32"/>
              <w:rPr>
                <w:highlight w:val="none"/>
              </w:rPr>
            </w:pPr>
            <w:r>
              <w:rPr>
                <w:rFonts w:hint="eastAsia"/>
                <w:highlight w:val="none"/>
              </w:rPr>
              <w:t>□环境影响报告书日期：</w:t>
            </w:r>
            <w:r>
              <w:rPr>
                <w:rFonts w:hint="eastAsia"/>
                <w:highlight w:val="none"/>
                <w:u w:val="single"/>
              </w:rPr>
              <w:t xml:space="preserve">                     </w:t>
            </w:r>
            <w:r>
              <w:rPr>
                <w:rFonts w:hint="eastAsia"/>
                <w:highlight w:val="none"/>
              </w:rPr>
              <w:t xml:space="preserve">   </w:t>
            </w:r>
          </w:p>
          <w:p>
            <w:pPr>
              <w:shd w:val="clear" w:color="auto" w:fill="EBF1DE" w:themeFill="accent3" w:themeFillTint="32"/>
              <w:rPr>
                <w:highlight w:val="none"/>
              </w:rPr>
            </w:pPr>
            <w:r>
              <w:rPr>
                <w:rFonts w:hint="eastAsia"/>
                <w:highlight w:val="none"/>
              </w:rPr>
              <w:t>□消防验收/备案证明日期：</w:t>
            </w:r>
            <w:r>
              <w:rPr>
                <w:rFonts w:hint="eastAsia"/>
                <w:highlight w:val="none"/>
                <w:u w:val="single"/>
              </w:rPr>
              <w:t xml:space="preserve">                </w:t>
            </w:r>
          </w:p>
          <w:p>
            <w:pPr>
              <w:shd w:val="clear" w:color="auto" w:fill="EBF1DE" w:themeFill="accent3" w:themeFillTint="32"/>
              <w:rPr>
                <w:highlight w:val="none"/>
              </w:rPr>
            </w:pPr>
            <w:r>
              <w:rPr>
                <w:rFonts w:hint="eastAsia"/>
                <w:highlight w:val="none"/>
              </w:rPr>
              <w:t>□其他</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组织策划并采取措施管理其重要环境因素、合规义务和识别的风险和机遇； </w:t>
            </w:r>
          </w:p>
          <w:p>
            <w:pPr>
              <w:shd w:val="clear" w:color="auto" w:fill="EBF1DE" w:themeFill="accent3" w:themeFillTint="32"/>
              <w:rPr>
                <w:highlight w:val="none"/>
              </w:rPr>
            </w:pPr>
            <w:r>
              <w:rPr>
                <w:rFonts w:hint="eastAsia" w:ascii="宋体" w:hAnsi="宋体" w:eastAsia="宋体" w:cs="宋体"/>
                <w:highlight w:val="none"/>
              </w:rPr>
              <w:t>■</w:t>
            </w:r>
            <w:r>
              <w:rPr>
                <w:rFonts w:hint="eastAsia"/>
                <w:highlight w:val="none"/>
              </w:rPr>
              <w:t>污水处理  □</w:t>
            </w:r>
            <w:r>
              <w:rPr>
                <w:rFonts w:hint="default" w:eastAsia="宋体"/>
                <w:highlight w:val="none"/>
                <w:lang w:val="en-US" w:eastAsia="zh-CN"/>
              </w:rPr>
              <w:t>油烟</w:t>
            </w:r>
            <w:r>
              <w:rPr>
                <w:rFonts w:hint="eastAsia"/>
                <w:highlight w:val="none"/>
                <w:lang w:val="en-US" w:eastAsia="zh-CN"/>
              </w:rPr>
              <w:t>处理</w:t>
            </w:r>
            <w:r>
              <w:rPr>
                <w:rFonts w:hint="eastAsia"/>
                <w:highlight w:val="none"/>
              </w:rPr>
              <w:t xml:space="preserve">设备 </w:t>
            </w:r>
            <w:r>
              <w:rPr>
                <w:rFonts w:hint="eastAsia" w:ascii="宋体" w:hAnsi="宋体" w:eastAsia="宋体" w:cs="宋体"/>
                <w:highlight w:val="none"/>
              </w:rPr>
              <w:t>■</w:t>
            </w:r>
            <w:r>
              <w:rPr>
                <w:rFonts w:hint="eastAsia"/>
                <w:highlight w:val="none"/>
              </w:rPr>
              <w:t xml:space="preserve">设备降噪  </w:t>
            </w:r>
            <w:r>
              <w:rPr>
                <w:rFonts w:hint="eastAsia"/>
                <w:highlight w:val="none"/>
                <w:lang w:eastAsia="zh-CN"/>
              </w:rPr>
              <w:t>□</w:t>
            </w:r>
            <w:r>
              <w:rPr>
                <w:rFonts w:hint="eastAsia"/>
                <w:highlight w:val="none"/>
              </w:rPr>
              <w:t xml:space="preserve">危废合法处置 </w:t>
            </w:r>
            <w:r>
              <w:rPr>
                <w:rFonts w:hint="eastAsia" w:ascii="宋体" w:hAnsi="宋体" w:eastAsia="宋体" w:cs="宋体"/>
                <w:highlight w:val="none"/>
              </w:rPr>
              <w:t>■</w:t>
            </w:r>
            <w:r>
              <w:rPr>
                <w:rFonts w:hint="eastAsia"/>
                <w:highlight w:val="none"/>
              </w:rPr>
              <w:t xml:space="preserve">使用节能设备 □危化品控制 </w:t>
            </w:r>
          </w:p>
          <w:p>
            <w:pPr>
              <w:shd w:val="clear" w:color="auto" w:fill="EBF1DE" w:themeFill="accent3" w:themeFillTint="32"/>
              <w:rPr>
                <w:highlight w:val="none"/>
              </w:rPr>
            </w:pPr>
            <w:r>
              <w:rPr>
                <w:rFonts w:hint="eastAsia"/>
                <w:highlight w:val="none"/>
                <w:lang w:eastAsia="zh-CN"/>
              </w:rPr>
              <w:t>□压力容器</w:t>
            </w:r>
            <w:r>
              <w:rPr>
                <w:rFonts w:hint="eastAsia"/>
                <w:highlight w:val="none"/>
              </w:rPr>
              <w:t xml:space="preserve">检测  </w:t>
            </w:r>
            <w:r>
              <w:rPr>
                <w:rFonts w:hint="eastAsia"/>
                <w:highlight w:val="none"/>
                <w:lang w:eastAsia="zh-CN"/>
              </w:rPr>
              <w:t>■</w:t>
            </w:r>
            <w:r>
              <w:rPr>
                <w:rFonts w:hint="eastAsia"/>
                <w:highlight w:val="none"/>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2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21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Times New Roman" w:hAnsi="Times New Roman" w:eastAsia="宋体" w:cs="Times New Roman"/>
                      <w:color w:val="000000" w:themeColor="text1"/>
                      <w:kern w:val="2"/>
                      <w:sz w:val="21"/>
                      <w:szCs w:val="21"/>
                      <w:highlight w:val="none"/>
                      <w:lang w:val="en-US" w:eastAsia="zh-CN" w:bidi="ar-SA"/>
                    </w:rPr>
                  </w:pPr>
                  <w:r>
                    <w:rPr>
                      <w:rFonts w:hint="eastAsia" w:hAnsi="宋体"/>
                      <w:snapToGrid w:val="0"/>
                      <w:szCs w:val="21"/>
                    </w:rPr>
                    <w:t>火灾事故发生数为0</w:t>
                  </w:r>
                </w:p>
              </w:tc>
              <w:tc>
                <w:tcPr>
                  <w:tcW w:w="3273"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各部门</w:t>
                  </w:r>
                </w:p>
              </w:tc>
              <w:tc>
                <w:tcPr>
                  <w:tcW w:w="1774" w:type="dxa"/>
                  <w:shd w:val="clear" w:color="auto" w:fill="auto"/>
                  <w:vAlign w:val="top"/>
                </w:tcPr>
                <w:p>
                  <w:pPr>
                    <w:jc w:val="center"/>
                    <w:rPr>
                      <w:rFonts w:hint="default" w:ascii="宋体" w:hAnsi="宋体" w:eastAsia="宋体"/>
                      <w:highlight w:val="none"/>
                      <w:lang w:val="en-US" w:eastAsia="zh-CN"/>
                    </w:rPr>
                  </w:pPr>
                  <w:r>
                    <w:rPr>
                      <w:rFonts w:hint="eastAsia" w:ascii="宋体" w:hAnsi="宋体" w:cs="宋体"/>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Times New Roman" w:hAnsi="Times New Roman" w:eastAsia="宋体" w:cs="Times New Roman"/>
                      <w:color w:val="000000" w:themeColor="text1"/>
                      <w:kern w:val="2"/>
                      <w:sz w:val="21"/>
                      <w:szCs w:val="21"/>
                      <w:highlight w:val="none"/>
                      <w:lang w:val="en-US" w:eastAsia="zh-CN" w:bidi="ar-SA"/>
                    </w:rPr>
                  </w:pPr>
                  <w:r>
                    <w:rPr>
                      <w:rFonts w:hint="eastAsia" w:hAnsi="宋体"/>
                      <w:snapToGrid w:val="0"/>
                      <w:szCs w:val="21"/>
                    </w:rPr>
                    <w:t>污染排放达标率100%（废水、废气、固体废弃物、噪声）</w:t>
                  </w:r>
                </w:p>
              </w:tc>
              <w:tc>
                <w:tcPr>
                  <w:tcW w:w="3273"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213"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各部门</w:t>
                  </w:r>
                </w:p>
              </w:tc>
              <w:tc>
                <w:tcPr>
                  <w:tcW w:w="1774" w:type="dxa"/>
                  <w:shd w:val="clear" w:color="auto" w:fill="auto"/>
                  <w:vAlign w:val="top"/>
                </w:tcPr>
                <w:p>
                  <w:pPr>
                    <w:jc w:val="center"/>
                    <w:rPr>
                      <w:rFonts w:hint="eastAsia" w:ascii="宋体" w:hAnsi="宋体" w:eastAsia="宋体" w:cs="Times New Roman"/>
                      <w:kern w:val="2"/>
                      <w:sz w:val="21"/>
                      <w:szCs w:val="24"/>
                      <w:highlight w:val="none"/>
                      <w:lang w:val="en-US" w:eastAsia="zh-CN" w:bidi="ar-SA"/>
                    </w:rPr>
                  </w:pPr>
                  <w:r>
                    <w:rPr>
                      <w:rFonts w:hint="eastAsia" w:ascii="宋体" w:hAnsi="宋体" w:eastAsia="宋体" w:cs="宋体"/>
                      <w:sz w:val="21"/>
                      <w:szCs w:val="21"/>
                      <w:highlight w:val="none"/>
                      <w:lang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default" w:ascii="Times New Roman" w:hAnsi="Times New Roman" w:eastAsia="宋体" w:cs="Times New Roman"/>
                      <w:color w:val="000000" w:themeColor="text1"/>
                      <w:kern w:val="2"/>
                      <w:sz w:val="21"/>
                      <w:szCs w:val="21"/>
                      <w:highlight w:val="none"/>
                      <w:lang w:val="en-US" w:eastAsia="zh-CN" w:bidi="ar-SA"/>
                    </w:rPr>
                  </w:pPr>
                </w:p>
              </w:tc>
              <w:tc>
                <w:tcPr>
                  <w:tcW w:w="3273"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1"/>
                      <w:highlight w:val="none"/>
                      <w:lang w:val="en-US" w:eastAsia="zh-CN" w:bidi="ar-SA"/>
                    </w:rPr>
                  </w:pPr>
                </w:p>
              </w:tc>
              <w:tc>
                <w:tcPr>
                  <w:tcW w:w="1213"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top"/>
                </w:tcPr>
                <w:p>
                  <w:pPr>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color w:val="000000" w:themeColor="text1"/>
                      <w:kern w:val="2"/>
                      <w:sz w:val="21"/>
                      <w:szCs w:val="21"/>
                      <w:highlight w:val="none"/>
                      <w:lang w:val="en-US" w:eastAsia="zh-CN" w:bidi="ar-SA"/>
                    </w:rPr>
                  </w:pPr>
                </w:p>
              </w:tc>
              <w:tc>
                <w:tcPr>
                  <w:tcW w:w="3273" w:type="dxa"/>
                  <w:shd w:val="clear" w:color="auto" w:fill="auto"/>
                  <w:vAlign w:val="center"/>
                </w:tcPr>
                <w:p>
                  <w:pPr>
                    <w:shd w:val="clear" w:color="auto" w:fill="EBF1DE" w:themeFill="accent3" w:themeFillTint="32"/>
                    <w:rPr>
                      <w:rFonts w:ascii="宋体" w:hAnsi="宋体"/>
                      <w:highlight w:val="none"/>
                    </w:rPr>
                  </w:pPr>
                </w:p>
              </w:tc>
              <w:tc>
                <w:tcPr>
                  <w:tcW w:w="1213"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color w:val="000000" w:themeColor="text1"/>
                      <w:kern w:val="2"/>
                      <w:sz w:val="21"/>
                      <w:szCs w:val="21"/>
                      <w:highlight w:val="none"/>
                      <w:lang w:val="en-US" w:eastAsia="zh-CN" w:bidi="ar-SA"/>
                    </w:rPr>
                  </w:pPr>
                </w:p>
              </w:tc>
              <w:tc>
                <w:tcPr>
                  <w:tcW w:w="3273" w:type="dxa"/>
                  <w:shd w:val="clear" w:color="auto" w:fill="auto"/>
                  <w:vAlign w:val="center"/>
                </w:tcPr>
                <w:p>
                  <w:pPr>
                    <w:shd w:val="clear" w:color="auto" w:fill="EBF1DE" w:themeFill="accent3" w:themeFillTint="32"/>
                    <w:rPr>
                      <w:rFonts w:ascii="宋体" w:hAnsi="宋体"/>
                      <w:highlight w:val="none"/>
                    </w:rPr>
                  </w:pPr>
                </w:p>
              </w:tc>
              <w:tc>
                <w:tcPr>
                  <w:tcW w:w="1213" w:type="dxa"/>
                  <w:shd w:val="clear" w:color="auto" w:fill="auto"/>
                  <w:vAlign w:val="center"/>
                </w:tcPr>
                <w:p>
                  <w:pPr>
                    <w:shd w:val="clear" w:color="auto" w:fill="EBF1DE" w:themeFill="accent3" w:themeFillTint="32"/>
                    <w:rPr>
                      <w:rFonts w:ascii="宋体" w:hAnsi="宋体"/>
                      <w:highlight w:val="none"/>
                    </w:rPr>
                  </w:pP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cs="Times New Roman"/>
                <w:lang w:val="en-US" w:eastAsia="zh-CN"/>
              </w:rPr>
              <w:t>办公场所面积200平方左右；生产车间   个；库房   个；实验室   个；</w:t>
            </w:r>
            <w:r>
              <w:rPr>
                <w:rFonts w:hint="eastAsia" w:ascii="Times New Roman" w:hAnsi="Times New Roman" w:eastAsia="宋体" w:cs="Times New Roman"/>
                <w:highlight w:val="none"/>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主要生产设备为吊车、挖机、铲车、工程车（为租赁）、运输车（小型货车）、电焊机、汽油发电机、电动液压机、绞磨机等设备和微机测试仪、继保测试仪、交直流电流表成套箱、电流互感器CT、数字电压表、直流电压表、直流电流表、数字万用表、毫秒测试仪、频率表、高压耐压装置、避雷器阻性测试仪、经纬仪、全站仪等测试设备等</w:t>
            </w:r>
            <w:r>
              <w:rPr>
                <w:rFonts w:hint="eastAsia" w:eastAsia="宋体" w:cs="Times New Roman"/>
                <w:u w:val="single"/>
                <w:lang w:eastAsia="zh-CN"/>
              </w:rPr>
              <w:t>。</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rPr>
                <w:highlight w:val="none"/>
              </w:rPr>
            </w:pPr>
            <w:r>
              <w:rPr>
                <w:rFonts w:hint="eastAsia"/>
              </w:rPr>
              <w:t>对国家规</w:t>
            </w:r>
            <w:r>
              <w:rPr>
                <w:rFonts w:hint="eastAsia"/>
                <w:highlight w:val="none"/>
              </w:rPr>
              <w:t>定持证上岗的人员资质进行了有效的管理。</w:t>
            </w:r>
          </w:p>
          <w:p>
            <w:pPr>
              <w:shd w:val="clear" w:color="auto" w:fill="EBF1DE" w:themeFill="accent3" w:themeFillTint="32"/>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宋体" w:hAnsi="宋体" w:eastAsia="宋体" w:cs="宋体"/>
                <w:highlight w:val="none"/>
                <w:lang w:eastAsia="zh-CN"/>
              </w:rPr>
              <w:t>■</w:t>
            </w:r>
            <w:r>
              <w:rPr>
                <w:rFonts w:hint="eastAsia" w:ascii="Wingdings" w:hAnsi="Wingdings"/>
                <w:highlight w:val="none"/>
                <w:lang w:eastAsia="zh-CN"/>
              </w:rPr>
              <w:t>焊工</w:t>
            </w:r>
            <w:r>
              <w:rPr>
                <w:rFonts w:hint="eastAsia"/>
                <w:highlight w:val="none"/>
              </w:rPr>
              <w:t xml:space="preserve">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rPr>
              <w:t xml:space="preserve">制冷工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高处作业</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ascii="Times New Roman" w:hAnsi="Times New Roman" w:cs="Times New Roman"/>
              </w:rPr>
            </w:pPr>
            <w:r>
              <w:rPr>
                <w:rFonts w:hint="eastAsia"/>
              </w:rPr>
              <w:t>审核期间内，设计和开发新产品</w:t>
            </w:r>
            <w:r>
              <w:rPr>
                <w:rFonts w:hint="eastAsia" w:ascii="Times New Roman" w:hAnsi="Times New Roman" w:cs="Times New Roman"/>
              </w:rPr>
              <w:t>/项目名称：</w:t>
            </w:r>
            <w:r>
              <w:rPr>
                <w:rFonts w:hint="eastAsia" w:cs="Times New Roman"/>
                <w:u w:val="single"/>
                <w:lang w:val="en-US" w:eastAsia="zh-CN"/>
              </w:rPr>
              <w:t xml:space="preserve">         </w:t>
            </w:r>
            <w:r>
              <w:rPr>
                <w:rFonts w:hint="eastAsia" w:ascii="Times New Roman" w:hAnsi="Times New Roman" w:cs="Times New Roman"/>
                <w:u w:val="single"/>
                <w:lang w:val="en-US" w:eastAsia="zh-CN"/>
              </w:rPr>
              <w:t xml:space="preserve"> </w:t>
            </w:r>
            <w:r>
              <w:rPr>
                <w:rFonts w:hint="eastAsia" w:ascii="Times New Roman" w:hAnsi="Times New Roman" w:cs="Times New Roman"/>
                <w:lang w:eastAsia="zh-CN"/>
              </w:rPr>
              <w:t>（</w:t>
            </w:r>
            <w:r>
              <w:rPr>
                <w:rFonts w:hint="eastAsia" w:ascii="Times New Roman" w:hAnsi="Times New Roman" w:cs="Times New Roman"/>
              </w:rPr>
              <w:t>举1例）</w:t>
            </w:r>
          </w:p>
          <w:p>
            <w:pPr>
              <w:shd w:val="clear" w:color="auto" w:fill="EBF1DE" w:themeFill="accent3" w:themeFillTint="32"/>
            </w:pPr>
            <w:r>
              <w:rPr>
                <w:rFonts w:hint="eastAsia" w:ascii="Times New Roman" w:hAnsi="Times New Roman" w:cs="Times New Roman"/>
              </w:rPr>
              <w:t>对该</w:t>
            </w:r>
            <w:r>
              <w:rPr>
                <w:rFonts w:hint="eastAsia"/>
              </w:rPr>
              <w:t>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rPr>
                    <w:t>噪音排放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粉尘排放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cs="Times New Roman"/>
                      <w:lang w:eastAsia="zh-CN"/>
                    </w:rPr>
                    <w:t>固废排放</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资源消耗</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火灾、爆炸</w:t>
                  </w:r>
                </w:p>
              </w:tc>
              <w:tc>
                <w:tcPr>
                  <w:tcW w:w="4364" w:type="dxa"/>
                  <w:vAlign w:val="top"/>
                </w:tcPr>
                <w:p>
                  <w:pPr>
                    <w:shd w:val="clear" w:color="auto" w:fill="EBF1DE" w:themeFill="accent3"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04"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维修</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□图纸</w:t>
            </w:r>
            <w:r>
              <w:rPr>
                <w:rFonts w:hint="eastAsia" w:eastAsia="宋体"/>
              </w:rPr>
              <w:t xml:space="preserve">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rFonts w:hint="default" w:eastAsia="宋体"/>
                <w:highlight w:val="none"/>
                <w:lang w:val="en-US" w:eastAsia="zh-CN"/>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r>
              <w:rPr>
                <w:rFonts w:hint="eastAsia" w:cs="宋体"/>
                <w:szCs w:val="21"/>
                <w:highlight w:val="none"/>
                <w:lang w:eastAsia="zh-CN"/>
              </w:rPr>
              <w:t>、《</w:t>
            </w:r>
            <w:r>
              <w:rPr>
                <w:rFonts w:hint="eastAsia" w:cs="宋体"/>
                <w:szCs w:val="21"/>
                <w:highlight w:val="none"/>
                <w:lang w:val="en-US" w:eastAsia="zh-CN"/>
              </w:rPr>
              <w:t>触电应急预案</w:t>
            </w:r>
            <w:r>
              <w:rPr>
                <w:rFonts w:hint="eastAsia" w:cs="宋体"/>
                <w:szCs w:val="21"/>
                <w:highlight w:val="none"/>
                <w:lang w:eastAsia="zh-CN"/>
              </w:rPr>
              <w:t>》</w:t>
            </w:r>
            <w:r>
              <w:rPr>
                <w:rFonts w:hint="eastAsia" w:cs="宋体"/>
                <w:szCs w:val="21"/>
                <w:highlight w:val="none"/>
                <w:lang w:val="en-US" w:eastAsia="zh-CN"/>
              </w:rPr>
              <w:t>等</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asciiTheme="minorEastAsia" w:hAnsiTheme="minorEastAsia" w:eastAsiaTheme="minorEastAsia"/>
                <w:color w:val="000000" w:themeColor="text1"/>
                <w:highlight w:val="none"/>
                <w:u w:val="single"/>
                <w:lang w:eastAsia="zh-CN"/>
              </w:rPr>
              <w:t>2022年5月10日</w:t>
            </w:r>
            <w:r>
              <w:rPr>
                <w:rFonts w:hint="eastAsia"/>
                <w:color w:val="000000"/>
                <w:highlight w:val="none"/>
                <w:u w:val="single"/>
                <w:lang w:val="en-US" w:eastAsia="zh-CN"/>
              </w:rPr>
              <w:t>进行火灾消防演练</w:t>
            </w:r>
            <w:r>
              <w:rPr>
                <w:rFonts w:hint="eastAsia"/>
                <w:highlight w:val="none"/>
              </w:rPr>
              <w:t>；</w:t>
            </w:r>
            <w:r>
              <w:rPr>
                <w:rFonts w:hint="eastAsia"/>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rPr>
                <w:highlight w:val="none"/>
              </w:rPr>
            </w:pPr>
            <w:r>
              <w:rPr>
                <w:rFonts w:hint="eastAsia"/>
              </w:rPr>
              <w:t>组织已建立、实施并保持</w:t>
            </w:r>
            <w:r>
              <w:rPr>
                <w:rFonts w:hint="eastAsia"/>
                <w:highlight w:val="none"/>
              </w:rPr>
              <w:t>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2022年4月30日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2022年5月31日</w:t>
            </w:r>
            <w:r>
              <w:rPr>
                <w:rFonts w:hint="eastAsia"/>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val="en-US" w:eastAsia="zh-CN"/>
              </w:rPr>
              <w:t>2022年6月20日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ascii="宋体" w:hAnsi="宋体" w:eastAsia="宋体" w:cs="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rPr>
                <w:rFonts w:hint="default" w:eastAsia="宋体"/>
                <w:lang w:val="en-US" w:eastAsia="zh-CN"/>
              </w:rPr>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cs="宋体"/>
                <w:u w:val="single"/>
                <w:lang w:eastAsia="zh-CN"/>
              </w:rPr>
              <w:t>保障安全  预防污染  遵守法规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组织建立了参与和协商的机制，由所有相关层次和职能部门的员工和员工代表参与（包括协商）建立、策划、实施、</w:t>
            </w:r>
            <w:r>
              <w:rPr>
                <w:rFonts w:hint="eastAsia"/>
                <w:highlight w:val="none"/>
              </w:rPr>
              <w:t>评价和改进职业健康安全管理体系。</w:t>
            </w:r>
          </w:p>
          <w:p>
            <w:pPr>
              <w:rPr>
                <w:rFonts w:hint="eastAsia" w:eastAsia="宋体"/>
                <w:highlight w:val="none"/>
              </w:rPr>
            </w:pPr>
          </w:p>
          <w:p>
            <w:pPr>
              <w:rPr>
                <w:rFonts w:hint="default" w:eastAsia="宋体"/>
                <w:lang w:val="en-US" w:eastAsia="zh-CN"/>
              </w:rPr>
            </w:pPr>
            <w:r>
              <w:rPr>
                <w:rFonts w:hint="eastAsia" w:eastAsia="宋体"/>
                <w:highlight w:val="none"/>
              </w:rPr>
              <w:t>员工代表是——</w:t>
            </w:r>
            <w:r>
              <w:rPr>
                <w:rFonts w:hint="eastAsia"/>
                <w:sz w:val="21"/>
                <w:szCs w:val="21"/>
                <w:highlight w:val="none"/>
                <w:lang w:val="en-US" w:eastAsia="zh-CN"/>
              </w:rPr>
              <w:t>张媛媛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高处坠落</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物体打击</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起重伤害</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lang w:val="en-US" w:eastAsia="zh-CN"/>
                    </w:rPr>
                    <w:t>职业病</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触电</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火灾</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r>
                    <w:rPr>
                      <w:rFonts w:hint="default" w:ascii="Times New Roman" w:hAnsi="Times New Roman" w:eastAsia="宋体" w:cs="Times New Roman"/>
                      <w:lang w:val="en-US" w:eastAsia="zh-CN"/>
                    </w:rPr>
                    <w:t>爆炸</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eastAsia" w:ascii="Times New Roman" w:hAnsi="Times New Roman" w:eastAsia="宋体" w:cs="Times New Roman"/>
                    </w:rPr>
                  </w:pPr>
                </w:p>
              </w:tc>
              <w:tc>
                <w:tcPr>
                  <w:tcW w:w="4518" w:type="dxa"/>
                  <w:vAlign w:val="top"/>
                </w:tcPr>
                <w:p>
                  <w:pPr>
                    <w:rPr>
                      <w:rFonts w:hint="eastAsia" w:asciiTheme="minorEastAsia" w:hAnsiTheme="minorEastAsia" w:eastAsiaTheme="minorEastAsia"/>
                      <w:b w:val="0"/>
                      <w:bCs w:val="0"/>
                      <w:sz w:val="21"/>
                      <w:szCs w:val="21"/>
                      <w:highlight w:val="none"/>
                      <w:lang w:val="en-US" w:eastAsia="zh-CN"/>
                    </w:rPr>
                  </w:pPr>
                </w:p>
              </w:tc>
              <w:tc>
                <w:tcPr>
                  <w:tcW w:w="1717" w:type="dxa"/>
                  <w:vAlign w:val="top"/>
                </w:tcPr>
                <w:p>
                  <w:pPr>
                    <w:rPr>
                      <w:rFonts w:hint="eastAsia"/>
                      <w:highlight w:val="none"/>
                      <w:lang w:val="en-US" w:eastAsia="zh-C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ascii="宋体" w:hAnsi="宋体" w:eastAsia="宋体" w:cs="宋体"/>
              </w:rPr>
              <w:t>■</w:t>
            </w:r>
            <w:r>
              <w:rPr>
                <w:rFonts w:hint="eastAsia"/>
              </w:rPr>
              <w:t>噪</w:t>
            </w:r>
            <w:r>
              <w:rPr>
                <w:rFonts w:hint="eastAsia" w:eastAsia="宋体"/>
                <w:highlight w:val="none"/>
              </w:rPr>
              <w:t xml:space="preserve">声 ■粉尘  □危险作业 □高低温  □危化品泄露 </w:t>
            </w:r>
            <w:r>
              <w:rPr>
                <w:rFonts w:hint="eastAsia" w:ascii="宋体" w:hAnsi="宋体" w:eastAsia="宋体" w:cs="宋体"/>
                <w:highlight w:val="none"/>
              </w:rPr>
              <w:t>■</w:t>
            </w:r>
            <w:r>
              <w:rPr>
                <w:rFonts w:hint="eastAsia" w:eastAsia="宋体"/>
                <w:highlight w:val="none"/>
              </w:rPr>
              <w:t xml:space="preserve">爆炸  </w:t>
            </w:r>
            <w:r>
              <w:rPr>
                <w:rFonts w:hint="eastAsia" w:eastAsia="宋体"/>
                <w:highlight w:val="none"/>
                <w:lang w:eastAsia="zh-CN"/>
              </w:rPr>
              <w:t>■</w:t>
            </w:r>
            <w:r>
              <w:rPr>
                <w:rFonts w:hint="eastAsia" w:eastAsia="宋体"/>
                <w:highlight w:val="none"/>
              </w:rPr>
              <w:t xml:space="preserve">火灾  </w:t>
            </w:r>
            <w:r>
              <w:rPr>
                <w:rFonts w:hint="eastAsia" w:eastAsia="宋体"/>
                <w:highlight w:val="none"/>
                <w:lang w:eastAsia="zh-CN"/>
              </w:rPr>
              <w:t>■</w:t>
            </w:r>
            <w:r>
              <w:rPr>
                <w:rFonts w:hint="eastAsia" w:eastAsia="宋体"/>
                <w:highlight w:val="none"/>
              </w:rPr>
              <w:t>其他</w:t>
            </w:r>
            <w:r>
              <w:rPr>
                <w:rFonts w:hint="eastAsia" w:eastAsia="宋体"/>
                <w:highlight w:val="none"/>
                <w:lang w:eastAsia="zh-CN"/>
              </w:rPr>
              <w:t>：</w:t>
            </w:r>
            <w:r>
              <w:rPr>
                <w:rFonts w:hint="eastAsia" w:eastAsia="宋体"/>
                <w:highlight w:val="none"/>
                <w:lang w:val="en-US" w:eastAsia="zh-CN"/>
              </w:rPr>
              <w:t>物体打击、</w:t>
            </w:r>
            <w:r>
              <w:rPr>
                <w:rFonts w:hint="eastAsia" w:eastAsia="宋体"/>
                <w:highlight w:val="none"/>
              </w:rPr>
              <w:t>高处坠落</w:t>
            </w:r>
            <w:r>
              <w:rPr>
                <w:rFonts w:hint="eastAsia" w:eastAsia="宋体"/>
                <w:highlight w:val="none"/>
                <w:lang w:eastAsia="zh-CN"/>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ascii="宋体" w:hAnsi="宋体" w:eastAsia="宋体" w:cs="宋体"/>
              </w:rPr>
              <w:t>■</w:t>
            </w:r>
            <w:r>
              <w:rPr>
                <w:rFonts w:hint="eastAsia"/>
              </w:rPr>
              <w:t xml:space="preserve">安全生产许可证编号： </w:t>
            </w:r>
            <w:r>
              <w:rPr>
                <w:rFonts w:hint="eastAsia"/>
                <w:color w:val="000000"/>
                <w:szCs w:val="21"/>
                <w:u w:val="single"/>
                <w:lang w:eastAsia="zh-CN"/>
              </w:rPr>
              <w:t>（渝）JZ安许证字（2018）010935</w:t>
            </w:r>
            <w:r>
              <w:rPr>
                <w:rFonts w:hint="eastAsia"/>
              </w:rPr>
              <w:t xml:space="preserve">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职业健康安全目标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hAnsi="宋体"/>
                      <w:snapToGrid w:val="0"/>
                      <w:szCs w:val="21"/>
                    </w:rPr>
                    <w:t>安全生产达标率100%</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工程门</w:t>
                  </w:r>
                </w:p>
              </w:tc>
              <w:tc>
                <w:tcPr>
                  <w:tcW w:w="1547" w:type="dxa"/>
                  <w:shd w:val="clear" w:color="auto" w:fill="auto"/>
                  <w:vAlign w:val="center"/>
                </w:tcPr>
                <w:p>
                  <w:pPr>
                    <w:jc w:val="center"/>
                    <w:rPr>
                      <w:rFonts w:hint="default" w:ascii="宋体" w:hAnsi="宋体" w:eastAsia="宋体"/>
                      <w:highlight w:val="none"/>
                      <w:lang w:val="en-US" w:eastAsia="zh-CN"/>
                    </w:rPr>
                  </w:pPr>
                  <w:r>
                    <w:rPr>
                      <w:rFonts w:hint="eastAsia" w:ascii="宋体" w:hAnsi="宋体" w:cs="宋体"/>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hAnsi="宋体"/>
                      <w:snapToGrid w:val="0"/>
                      <w:szCs w:val="21"/>
                    </w:rPr>
                    <w:t>重伤、死亡事故为0</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top"/>
                </w:tcPr>
                <w:p>
                  <w:pPr>
                    <w:jc w:val="center"/>
                    <w:rPr>
                      <w:rFonts w:hint="default" w:ascii="Times New Roman" w:hAnsi="Times New Roman" w:cs="Times New Roman"/>
                      <w:highlight w:val="none"/>
                      <w:lang w:val="en-US" w:eastAsia="zh-CN"/>
                    </w:rPr>
                  </w:pPr>
                  <w:r>
                    <w:rPr>
                      <w:rFonts w:hint="eastAsia" w:ascii="宋体" w:hAnsi="宋体" w:cs="宋体"/>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420" w:type="dxa"/>
                  <w:shd w:val="clear" w:color="auto" w:fill="auto"/>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hAnsi="宋体"/>
                      <w:snapToGrid w:val="0"/>
                      <w:szCs w:val="21"/>
                    </w:rPr>
                    <w:t>轻伤（千人负伤率）≤5‰</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宋体" w:hAnsi="宋体" w:eastAsia="宋体"/>
                      <w:highlight w:val="none"/>
                      <w:lang w:val="en-US" w:eastAsia="zh-CN"/>
                    </w:rPr>
                  </w:pPr>
                  <w:r>
                    <w:rPr>
                      <w:rFonts w:hint="eastAsia" w:cs="Times New Roman"/>
                      <w:highlight w:val="none"/>
                      <w:lang w:val="en-US" w:eastAsia="zh-CN"/>
                    </w:rPr>
                    <w:t>工程门</w:t>
                  </w:r>
                </w:p>
              </w:tc>
              <w:tc>
                <w:tcPr>
                  <w:tcW w:w="1547" w:type="dxa"/>
                  <w:shd w:val="clear" w:color="auto" w:fill="auto"/>
                  <w:vAlign w:val="top"/>
                </w:tcPr>
                <w:p>
                  <w:pPr>
                    <w:jc w:val="center"/>
                    <w:rPr>
                      <w:rFonts w:hint="default" w:ascii="宋体" w:hAnsi="宋体" w:eastAsia="宋体"/>
                      <w:highlight w:val="none"/>
                      <w:lang w:val="en-US" w:eastAsia="zh-CN"/>
                    </w:rPr>
                  </w:pPr>
                  <w:r>
                    <w:rPr>
                      <w:rFonts w:hint="eastAsia" w:ascii="宋体" w:hAnsi="宋体" w:cs="宋体"/>
                      <w:sz w:val="21"/>
                      <w:szCs w:val="21"/>
                      <w:lang w:val="en-US" w:eastAsia="zh-CN" w:bidi="ar-SA"/>
                    </w:rPr>
                    <w:t>0</w:t>
                  </w: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组织应确定</w:t>
            </w:r>
            <w:r>
              <w:rPr>
                <w:rFonts w:hint="eastAsia" w:ascii="Times New Roman" w:hAnsi="Times New Roman" w:eastAsia="宋体" w:cs="Times New Roman"/>
              </w:rPr>
              <w:t>、提供并维护所需的基础设施情况：</w:t>
            </w:r>
          </w:p>
          <w:p>
            <w:pPr>
              <w:rPr>
                <w:rFonts w:hint="eastAsia" w:ascii="Times New Roman" w:hAnsi="Times New Roman" w:eastAsia="宋体" w:cs="Times New Roman"/>
              </w:rPr>
            </w:pPr>
            <w:r>
              <w:rPr>
                <w:rFonts w:hint="eastAsia" w:cs="Times New Roman"/>
                <w:lang w:val="en-US" w:eastAsia="zh-CN"/>
              </w:rPr>
              <w:t>办公场所面积200平方左右；生产车间   个；库房   个；实验室   个；</w:t>
            </w:r>
            <w:r>
              <w:rPr>
                <w:rFonts w:hint="eastAsia" w:ascii="Times New Roman" w:hAnsi="Times New Roman" w:eastAsia="宋体" w:cs="Times New Roman"/>
              </w:rPr>
              <w:t>。</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主要生产设备为吊车、挖机、铲车、工程车（为租赁）、运输车（小型货车）、电焊机、汽油发电机、电动液压机、绞磨机等设备和微机测试仪、继保测试仪、交直流电流表成套箱、电流互感器CT、数字电压表、直流电压表、直流电流表、数字万用表、毫秒测试仪、频率表、高压耐压装置、避雷器阻性测试仪、经纬仪、全站仪等测试设备等。</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电</w:t>
            </w:r>
            <w:r>
              <w:rPr>
                <w:rFonts w:hint="eastAsia" w:ascii="Times New Roman" w:hAnsi="Times New Roman" w:cs="Times New Roman"/>
                <w:highlight w:val="none"/>
              </w:rPr>
              <w:t xml:space="preserve">工 </w:t>
            </w:r>
            <w:r>
              <w:rPr>
                <w:rFonts w:hint="eastAsia" w:cs="Times New Roman"/>
                <w:highlight w:val="none"/>
                <w:lang w:eastAsia="zh-CN"/>
              </w:rPr>
              <w:t>□焊工</w:t>
            </w:r>
            <w:r>
              <w:rPr>
                <w:rFonts w:hint="eastAsia" w:ascii="Times New Roman" w:hAnsi="Times New Roman" w:cs="Times New Roman"/>
                <w:highlight w:val="none"/>
              </w:rPr>
              <w:t xml:space="preserve">  </w:t>
            </w:r>
            <w:r>
              <w:rPr>
                <w:rFonts w:hint="eastAsia" w:ascii="Times New Roman" w:hAnsi="Times New Roman" w:cs="Times New Roman"/>
                <w:highlight w:val="none"/>
                <w:lang w:eastAsia="zh-CN"/>
              </w:rPr>
              <w:t>□</w:t>
            </w:r>
            <w:r>
              <w:rPr>
                <w:rFonts w:hint="eastAsia" w:ascii="Times New Roman" w:hAnsi="Times New Roman" w:cs="Times New Roman"/>
                <w:highlight w:val="none"/>
              </w:rPr>
              <w:t xml:space="preserve">危化品作业  </w:t>
            </w:r>
            <w:r>
              <w:rPr>
                <w:rFonts w:hint="eastAsia" w:ascii="Times New Roman" w:hAnsi="Times New Roman" w:cs="Times New Roman"/>
                <w:highlight w:val="none"/>
                <w:lang w:eastAsia="zh-CN"/>
              </w:rPr>
              <w:t>□</w:t>
            </w:r>
            <w:r>
              <w:rPr>
                <w:rFonts w:hint="eastAsia" w:ascii="Times New Roman" w:hAnsi="Times New Roman" w:cs="Times New Roman"/>
                <w:highlight w:val="none"/>
              </w:rPr>
              <w:t xml:space="preserve">制冷工   </w:t>
            </w:r>
            <w:r>
              <w:rPr>
                <w:rFonts w:hint="eastAsia" w:ascii="宋体" w:hAnsi="宋体" w:eastAsia="宋体" w:cs="宋体"/>
                <w:highlight w:val="none"/>
                <w:lang w:eastAsia="zh-CN"/>
              </w:rPr>
              <w:t>■</w:t>
            </w:r>
            <w:r>
              <w:rPr>
                <w:rFonts w:hint="eastAsia" w:ascii="Times New Roman" w:hAnsi="Times New Roman" w:cs="Times New Roman"/>
                <w:highlight w:val="none"/>
              </w:rPr>
              <w:t>其他</w:t>
            </w:r>
            <w:r>
              <w:rPr>
                <w:rFonts w:hint="eastAsia" w:cs="Times New Roman"/>
                <w:highlight w:val="none"/>
                <w:lang w:eastAsia="zh-CN"/>
              </w:rPr>
              <w:t>：</w:t>
            </w:r>
            <w:r>
              <w:rPr>
                <w:rFonts w:hint="eastAsia" w:cs="Times New Roman"/>
                <w:highlight w:val="none"/>
                <w:lang w:val="en-US" w:eastAsia="zh-CN"/>
              </w:rPr>
              <w:t>高处作业</w:t>
            </w:r>
            <w:r>
              <w:rPr>
                <w:rFonts w:hint="eastAsia" w:ascii="Times New Roman" w:hAnsi="Times New Roman" w:cs="Times New Roman"/>
                <w:highlight w:val="none"/>
              </w:rPr>
              <w:t xml:space="preserve"> </w:t>
            </w:r>
            <w:r>
              <w:rPr>
                <w:rFonts w:hint="eastAsia" w:ascii="Times New Roman" w:hAnsi="Times New Roman" w:cs="Times New Roman"/>
              </w:rPr>
              <w:t xml:space="preserve">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宋体" w:hAnsi="宋体" w:eastAsia="宋体" w:cs="宋体"/>
                <w:lang w:eastAsia="zh-CN"/>
              </w:rPr>
              <w:t>■</w:t>
            </w:r>
            <w:r>
              <w:rPr>
                <w:rFonts w:hint="eastAsia" w:eastAsia="宋体"/>
              </w:rPr>
              <w:t>其他</w:t>
            </w:r>
            <w:r>
              <w:rPr>
                <w:rFonts w:hint="eastAsia" w:eastAsia="宋体"/>
                <w:lang w:eastAsia="zh-CN"/>
              </w:rPr>
              <w:t>：</w:t>
            </w:r>
            <w:r>
              <w:rPr>
                <w:rFonts w:hint="eastAsia"/>
                <w:lang w:val="en-US" w:eastAsia="zh-CN"/>
              </w:rPr>
              <w:t>维修</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asciiTheme="minorEastAsia" w:hAnsiTheme="minorEastAsia" w:eastAsiaTheme="minorEastAsia"/>
                <w:color w:val="000000" w:themeColor="text1"/>
                <w:highlight w:val="none"/>
                <w:u w:val="single"/>
                <w:lang w:eastAsia="zh-CN"/>
              </w:rPr>
              <w:t>2022年5月10日</w:t>
            </w:r>
            <w:r>
              <w:rPr>
                <w:rFonts w:hint="eastAsia"/>
                <w:color w:val="000000"/>
                <w:highlight w:val="none"/>
                <w:u w:val="single"/>
                <w:lang w:val="en-US" w:eastAsia="zh-CN"/>
              </w:rPr>
              <w:t>进行火灾消防演练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2022年4月30日</w:t>
            </w:r>
          </w:p>
          <w:p>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普通健康体检，见附件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highlight w:val="none"/>
                <w:u w:val="single"/>
                <w:lang w:eastAsia="zh-CN"/>
              </w:rPr>
              <w:t>2022年5月31日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olor w:val="000000"/>
                <w:szCs w:val="18"/>
                <w:u w:val="single"/>
                <w:lang w:val="en-US" w:eastAsia="zh-CN"/>
              </w:rPr>
              <w:t>2022年6月20日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29"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29"/>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41C6F40"/>
    <w:rsid w:val="08C97FEA"/>
    <w:rsid w:val="14632E6A"/>
    <w:rsid w:val="17786D70"/>
    <w:rsid w:val="19BA3CC8"/>
    <w:rsid w:val="49CB6907"/>
    <w:rsid w:val="70EF48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0"/>
    <w:pPr>
      <w:ind w:firstLine="420"/>
    </w:pPr>
    <w:rPr>
      <w:szCs w:val="20"/>
    </w:r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15273</Words>
  <Characters>16199</Characters>
  <Lines>150</Lines>
  <Paragraphs>42</Paragraphs>
  <TotalTime>2</TotalTime>
  <ScaleCrop>false</ScaleCrop>
  <LinksUpToDate>false</LinksUpToDate>
  <CharactersWithSpaces>18302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2022-09-09T02:21:50Z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