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969"/>
        <w:gridCol w:w="564"/>
        <w:gridCol w:w="1196"/>
        <w:gridCol w:w="1598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重庆东晟来电力设备有限公司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资质范围内电力工程施工、承装、承修、承试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96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40005</wp:posOffset>
                  </wp:positionV>
                  <wp:extent cx="773430" cy="399415"/>
                  <wp:effectExtent l="0" t="0" r="1270" b="6985"/>
                  <wp:wrapNone/>
                  <wp:docPr id="7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</wp:posOffset>
                  </wp:positionV>
                  <wp:extent cx="696595" cy="351155"/>
                  <wp:effectExtent l="0" t="0" r="1905" b="4445"/>
                  <wp:wrapNone/>
                  <wp:docPr id="8" name="图片 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电力工程施工、承装、承修、承试流程：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签订合同——施工组织设计——图纸会审——进场报验——技术交底——现场施工——阶段验收——预验收——竣工验收——移交。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施工、安装、检测为关键过程。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1）火灾、爆炸（电气设备的运行）；2）固体废弃物；3）噪声的排放。管理方案控制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中华人民共和国环境保护法》、《中华人民共和国环境影响评价法》、《中华人民共和国节约能源法》、《大气污染物综合排放标准》、《污水综合排放标准》、《中华人民共和国建筑法》等。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0" w:name="_GoBack" w:colFirst="5" w:colLast="6"/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243840</wp:posOffset>
                  </wp:positionV>
                  <wp:extent cx="344170" cy="375920"/>
                  <wp:effectExtent l="0" t="0" r="11430" b="5080"/>
                  <wp:wrapNone/>
                  <wp:docPr id="14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2022年09月06日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243840</wp:posOffset>
                  </wp:positionV>
                  <wp:extent cx="344170" cy="375920"/>
                  <wp:effectExtent l="0" t="0" r="11430" b="5080"/>
                  <wp:wrapNone/>
                  <wp:docPr id="15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2022年09月06日</w:t>
            </w:r>
          </w:p>
        </w:tc>
      </w:tr>
      <w:bookmarkEnd w:id="0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969"/>
        <w:gridCol w:w="564"/>
        <w:gridCol w:w="1196"/>
        <w:gridCol w:w="1598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重庆东晟来电力设备有限公司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资质范围内电力工程施工、承装、承修、承试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96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40005</wp:posOffset>
                  </wp:positionV>
                  <wp:extent cx="773430" cy="399415"/>
                  <wp:effectExtent l="0" t="0" r="1270" b="6985"/>
                  <wp:wrapNone/>
                  <wp:docPr id="11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</wp:posOffset>
                  </wp:positionV>
                  <wp:extent cx="696595" cy="351155"/>
                  <wp:effectExtent l="0" t="0" r="1905" b="4445"/>
                  <wp:wrapNone/>
                  <wp:docPr id="12" name="图片 1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电力工程施工、承装、承修、承试流程：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签订合同——施工组织设计——图纸会审——进场报验——技术交底——现场施工——阶段验收——预验收——竣工验收——移交。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施工、安装、检测为关键过程。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1）火灾、爆炸；2）触电；3）职业病（粉尘、噪声、化学品挥发）；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4)</w:t>
            </w:r>
            <w:r>
              <w:rPr>
                <w:rFonts w:hint="eastAsia" w:ascii="宋体" w:hAnsi="宋体"/>
                <w:sz w:val="21"/>
                <w:szCs w:val="21"/>
              </w:rPr>
              <w:t>物体打击、高处坠落、机械伤害、灼烫中毒等伤害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安全生产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职业病防治法、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突发事件应对法、建设工程安全生产管理条例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建筑安全生产监督管理规定、工程建设重大事故报告和调查程序规定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243840</wp:posOffset>
                  </wp:positionV>
                  <wp:extent cx="344170" cy="375920"/>
                  <wp:effectExtent l="0" t="0" r="11430" b="5080"/>
                  <wp:wrapNone/>
                  <wp:docPr id="17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2022年09月06日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243840</wp:posOffset>
                  </wp:positionV>
                  <wp:extent cx="344170" cy="375920"/>
                  <wp:effectExtent l="0" t="0" r="11430" b="5080"/>
                  <wp:wrapNone/>
                  <wp:docPr id="18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2022年09月06日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C845E95"/>
    <w:rsid w:val="71CE0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tiff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556</Words>
  <Characters>596</Characters>
  <Lines>2</Lines>
  <Paragraphs>1</Paragraphs>
  <TotalTime>0</TotalTime>
  <ScaleCrop>false</ScaleCrop>
  <LinksUpToDate>false</LinksUpToDate>
  <CharactersWithSpaces>598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2022-09-03T09:39:42Z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