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1054-2021-E-2022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任丘市亿阳通信电力器材有限公司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任丘市亿阳通信电力器材有限公司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任丘市麻家坞镇南马庄东大河路</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任丘市麻家坞镇南马庄东大河路</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王双奎</w:t>
            </w:r>
            <w:bookmarkEnd w:id="10"/>
          </w:p>
        </w:tc>
        <w:tc>
          <w:tcPr>
            <w:tcW w:w="1313" w:type="dxa"/>
            <w:vAlign w:val="center"/>
          </w:tcPr>
          <w:p>
            <w:r>
              <w:rPr>
                <w:rFonts w:hint="eastAsia"/>
              </w:rPr>
              <w:t>电话.</w:t>
            </w:r>
          </w:p>
        </w:tc>
        <w:tc>
          <w:tcPr>
            <w:tcW w:w="2180" w:type="dxa"/>
            <w:vAlign w:val="center"/>
          </w:tcPr>
          <w:p>
            <w:bookmarkStart w:id="11" w:name="联系人电话"/>
            <w:r>
              <w:t>13230731888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王双奎</w:t>
            </w:r>
            <w:bookmarkEnd w:id="13"/>
          </w:p>
        </w:tc>
        <w:tc>
          <w:tcPr>
            <w:tcW w:w="1313" w:type="dxa"/>
            <w:vAlign w:val="center"/>
          </w:tcPr>
          <w:p>
            <w:r>
              <w:rPr>
                <w:rFonts w:hint="eastAsia"/>
              </w:rPr>
              <w:t>管理者代表</w:t>
            </w:r>
          </w:p>
        </w:tc>
        <w:tc>
          <w:tcPr>
            <w:tcW w:w="2180" w:type="dxa"/>
          </w:tcPr>
          <w:p>
            <w:bookmarkStart w:id="14" w:name="管理者代表"/>
            <w:r>
              <w:t>王双奎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rPr>
              <w:t>接到订单-评审-签合同-采购-进货(检验)-销售（包括运输送货）-客户签收-满意度调查</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2022年09月07日 上午至2022年09月07日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1" w:hRule="exact"/>
        </w:trPr>
        <w:tc>
          <w:tcPr>
            <w:tcW w:w="1632" w:type="dxa"/>
            <w:gridSpan w:val="2"/>
          </w:tcPr>
          <w:p>
            <w:pPr>
              <w:rPr>
                <w:rFonts w:hint="eastAsia" w:ascii="Times New Roman" w:hAnsi="Times New Roman" w:eastAsia="宋体" w:cs="Times New Roman"/>
                <w:lang w:val="de-DE"/>
              </w:rPr>
            </w:pPr>
            <w:r>
              <w:rPr>
                <w:rFonts w:hint="eastAsia" w:ascii="Times New Roman" w:hAnsi="Times New Roman" w:eastAsia="宋体" w:cs="Times New Roman"/>
                <w:lang w:val="de-DE"/>
              </w:rPr>
              <w:t>审核地址</w:t>
            </w:r>
            <w:r>
              <w:rPr>
                <w:rFonts w:hint="eastAsia" w:ascii="Times New Roman" w:hAnsi="Times New Roman" w:eastAsia="宋体" w:cs="Times New Roman"/>
                <w:lang w:val="en-US" w:eastAsia="zh-CN"/>
              </w:rPr>
              <w:t>(</w:t>
            </w:r>
            <w:r>
              <w:rPr>
                <w:rFonts w:hint="eastAsia" w:ascii="Times New Roman" w:hAnsi="Times New Roman" w:eastAsia="宋体" w:cs="Times New Roman"/>
                <w:lang w:val="de-DE"/>
              </w:rPr>
              <w:t>含远程</w:t>
            </w:r>
          </w:p>
        </w:tc>
        <w:tc>
          <w:tcPr>
            <w:tcW w:w="7831" w:type="dxa"/>
            <w:gridSpan w:val="3"/>
            <w:tcMar>
              <w:left w:w="113" w:type="dxa"/>
            </w:tcMar>
          </w:tcPr>
          <w:p>
            <w:pPr>
              <w:rPr>
                <w:rFonts w:hint="eastAsia" w:ascii="Times New Roman" w:hAnsi="Times New Roman" w:eastAsia="宋体" w:cs="Times New Roman"/>
                <w:lang w:val="de-DE"/>
              </w:rPr>
            </w:pPr>
            <w:r>
              <w:rPr>
                <w:rFonts w:hint="eastAsia" w:ascii="Times New Roman" w:hAnsi="Times New Roman" w:eastAsia="宋体" w:cs="Times New Roman"/>
                <w:lang w:val="de-DE"/>
              </w:rPr>
              <w:t>任丘市麻家坞镇南马庄东大河路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通信光缆、塑料通信管材、钢绞线、通信铁件、电话线、通信箱体、通信油木杆、走线架、通信井具的销售所涉及场所的相关环境管理活动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ascii="Times New Roman" w:hAnsi="Times New Roman" w:eastAsia="宋体" w:cs="Times New Roman"/>
              </w:rPr>
            </w:pPr>
            <w:r>
              <w:rPr>
                <w:rFonts w:hint="eastAsia" w:ascii="Times New Roman" w:hAnsi="Times New Roman" w:eastAsia="宋体" w:cs="Times New Roman"/>
              </w:rPr>
              <w:t>上次审核时间</w:t>
            </w:r>
          </w:p>
        </w:tc>
        <w:tc>
          <w:tcPr>
            <w:tcW w:w="2733" w:type="dxa"/>
            <w:vAlign w:val="center"/>
          </w:tcPr>
          <w:p>
            <w:pPr>
              <w:rPr>
                <w:rFonts w:hint="eastAsia" w:ascii="Times New Roman" w:hAnsi="Times New Roman" w:eastAsia="宋体" w:cs="Times New Roman"/>
              </w:rPr>
            </w:pPr>
            <w:r>
              <w:rPr>
                <w:rFonts w:hint="eastAsia" w:ascii="Times New Roman" w:hAnsi="Times New Roman" w:eastAsia="宋体" w:cs="Times New Roman"/>
              </w:rPr>
              <w:t>2021-10-14 -- 2021-10-16</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19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338"/>
        <w:gridCol w:w="1031"/>
        <w:gridCol w:w="2757"/>
        <w:gridCol w:w="118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338" w:type="dxa"/>
            <w:shd w:val="clear" w:color="auto" w:fill="F3F3F3"/>
            <w:tcMar>
              <w:left w:w="57" w:type="dxa"/>
              <w:right w:w="57" w:type="dxa"/>
            </w:tcMar>
          </w:tcPr>
          <w:p>
            <w:r>
              <w:rPr>
                <w:rFonts w:hint="eastAsia"/>
              </w:rPr>
              <w:t>经营场所的地址</w:t>
            </w:r>
          </w:p>
          <w:p>
            <w:r>
              <w:rPr>
                <w:rFonts w:hint="eastAsia"/>
              </w:rPr>
              <w:t>（多现场和临时现场）</w:t>
            </w:r>
          </w:p>
        </w:tc>
        <w:tc>
          <w:tcPr>
            <w:tcW w:w="1031" w:type="dxa"/>
            <w:shd w:val="clear" w:color="auto" w:fill="F3F3F3"/>
            <w:tcMar>
              <w:left w:w="57" w:type="dxa"/>
              <w:right w:w="57" w:type="dxa"/>
            </w:tcMar>
          </w:tcPr>
          <w:p>
            <w:r>
              <w:rPr>
                <w:rFonts w:hint="eastAsia"/>
              </w:rPr>
              <w:t>员工人数</w:t>
            </w:r>
          </w:p>
        </w:tc>
        <w:tc>
          <w:tcPr>
            <w:tcW w:w="2757" w:type="dxa"/>
            <w:shd w:val="clear" w:color="auto" w:fill="F3F3F3"/>
            <w:tcMar>
              <w:left w:w="57" w:type="dxa"/>
              <w:right w:w="57" w:type="dxa"/>
            </w:tcMar>
          </w:tcPr>
          <w:p>
            <w:r>
              <w:rPr>
                <w:rFonts w:hint="eastAsia"/>
              </w:rPr>
              <w:t>审核范围（产品和过程）</w:t>
            </w:r>
          </w:p>
          <w:p/>
          <w:p/>
        </w:tc>
        <w:tc>
          <w:tcPr>
            <w:tcW w:w="118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 xml:space="preserve">任丘市亿阳通信电力器材有限公司 </w:t>
            </w:r>
          </w:p>
          <w:p>
            <w:pPr>
              <w:pStyle w:val="2"/>
              <w:rPr>
                <w:lang w:val="de-DE" w:eastAsia="ja-JP"/>
              </w:rPr>
            </w:pPr>
            <w:r>
              <w:t>任丘市麻家坞镇南马庄东大河路</w:t>
            </w:r>
          </w:p>
        </w:tc>
        <w:tc>
          <w:tcPr>
            <w:tcW w:w="1338" w:type="dxa"/>
          </w:tcPr>
          <w:p>
            <w:pPr>
              <w:rPr>
                <w:lang w:val="de-DE" w:eastAsia="ja-JP"/>
              </w:rPr>
            </w:pPr>
            <w:r>
              <w:t>任丘市麻家坞镇南马庄东大河路</w:t>
            </w:r>
          </w:p>
        </w:tc>
        <w:tc>
          <w:tcPr>
            <w:tcW w:w="1031" w:type="dxa"/>
            <w:vAlign w:val="center"/>
          </w:tcPr>
          <w:p>
            <w:pPr>
              <w:rPr>
                <w:rFonts w:hint="default" w:eastAsia="宋体"/>
                <w:lang w:val="en-US" w:eastAsia="zh-CN"/>
              </w:rPr>
            </w:pPr>
            <w:r>
              <w:rPr>
                <w:rFonts w:hint="eastAsia"/>
                <w:lang w:val="en-US" w:eastAsia="zh-CN"/>
              </w:rPr>
              <w:t>15</w:t>
            </w:r>
          </w:p>
        </w:tc>
        <w:tc>
          <w:tcPr>
            <w:tcW w:w="2757" w:type="dxa"/>
            <w:vAlign w:val="center"/>
          </w:tcPr>
          <w:p>
            <w:pPr>
              <w:rPr>
                <w:lang w:eastAsia="ja-JP"/>
              </w:rPr>
            </w:pPr>
            <w:r>
              <w:rPr>
                <w:rFonts w:hint="eastAsia"/>
                <w:lang w:eastAsia="ja-JP"/>
              </w:rPr>
              <w:t>通信光缆、塑料通信管材、钢绞线、通信铁件、电话线、通信箱体、通信油木杆、走线架、通信井具的销售所涉及场所的相关环境管理活动</w:t>
            </w:r>
          </w:p>
        </w:tc>
        <w:tc>
          <w:tcPr>
            <w:tcW w:w="1184" w:type="dxa"/>
            <w:vAlign w:val="center"/>
          </w:tcPr>
          <w:p>
            <w:pPr>
              <w:rPr>
                <w:lang w:eastAsia="ja-JP"/>
              </w:rPr>
            </w:pPr>
            <w:r>
              <w:rPr>
                <w:rFonts w:hint="eastAsia"/>
                <w:lang w:val="de-DE"/>
              </w:rPr>
              <w:t>GB/T24001-2016</w:t>
            </w:r>
          </w:p>
        </w:tc>
        <w:tc>
          <w:tcPr>
            <w:tcW w:w="668" w:type="dxa"/>
            <w:shd w:val="clear" w:color="auto" w:fill="FFFFFF"/>
          </w:tcPr>
          <w:p>
            <w:pPr>
              <w:rPr>
                <w:rFonts w:hint="default" w:eastAsia="宋体"/>
                <w:lang w:val="en-US" w:eastAsia="zh-CN"/>
              </w:rPr>
            </w:pPr>
            <w:r>
              <w:rPr>
                <w:rFonts w:hint="eastAsia"/>
                <w:lang w:val="en-US" w:eastAsia="zh-CN"/>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组长</w:t>
            </w:r>
          </w:p>
        </w:tc>
        <w:tc>
          <w:tcPr>
            <w:tcW w:w="711" w:type="dxa"/>
            <w:vAlign w:val="center"/>
          </w:tcPr>
          <w:p>
            <w:r>
              <w:t>女</w:t>
            </w:r>
          </w:p>
        </w:tc>
        <w:tc>
          <w:tcPr>
            <w:tcW w:w="3870" w:type="dxa"/>
            <w:vAlign w:val="center"/>
          </w:tcPr>
          <w:p>
            <w:r>
              <w:t>2022-N1EMS-1215052</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lang w:val="en-GB"/>
              </w:rPr>
            </w:pPr>
            <w:r>
              <w:rPr>
                <w:rFonts w:hint="eastAsia"/>
                <w:lang w:val="en-GB"/>
              </w:rPr>
              <w:t>依据规定使用标志和证书。</w:t>
            </w:r>
          </w:p>
          <w:p>
            <w:pPr>
              <w:pStyle w:val="2"/>
              <w:rPr>
                <w:rFonts w:hint="eastAsia" w:eastAsia="宋体"/>
                <w:lang w:val="en-GB" w:eastAsia="zh-CN"/>
              </w:rPr>
            </w:pPr>
            <w:r>
              <w:rPr>
                <w:rFonts w:hint="eastAsia"/>
                <w:lang w:val="en-GB" w:eastAsia="zh-CN"/>
              </w:rPr>
              <w:t>主要用于对客户展示和投标使用，未违规使用。</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91440</wp:posOffset>
                  </wp:positionV>
                  <wp:extent cx="909955" cy="602615"/>
                  <wp:effectExtent l="0" t="0" r="4445" b="6985"/>
                  <wp:wrapThrough wrapText="bothSides">
                    <wp:wrapPolygon>
                      <wp:start x="0" y="0"/>
                      <wp:lineTo x="0" y="21168"/>
                      <wp:lineTo x="21253" y="21168"/>
                      <wp:lineTo x="21253" y="0"/>
                      <wp:lineTo x="0" y="0"/>
                    </wp:wrapPolygon>
                  </wp:wrapThrough>
                  <wp:docPr id="1" name="图片 1"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260674(1)"/>
                          <pic:cNvPicPr>
                            <a:picLocks noChangeAspect="1"/>
                          </pic:cNvPicPr>
                        </pic:nvPicPr>
                        <pic:blipFill>
                          <a:blip r:embed="rId6"/>
                          <a:stretch>
                            <a:fillRect/>
                          </a:stretch>
                        </pic:blipFill>
                        <pic:spPr>
                          <a:xfrm>
                            <a:off x="0" y="0"/>
                            <a:ext cx="909955" cy="60261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2022.9.7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400" w:lineRule="exact"/>
              <w:jc w:val="left"/>
              <w:rPr>
                <w:u w:val="single"/>
              </w:rPr>
            </w:pPr>
            <w:r>
              <w:rPr>
                <w:rFonts w:hint="eastAsia" w:ascii="宋体" w:hAnsi="宋体"/>
                <w:spacing w:val="20"/>
                <w:sz w:val="24"/>
              </w:rPr>
              <w:t>科学管理，遵守法规，预防污染，持续改进。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人员素质参差不齐，环保意识不强，对岗位环境因素认识不足，控制方法不明确；</w:t>
                  </w:r>
                </w:p>
              </w:tc>
              <w:tc>
                <w:tcPr>
                  <w:tcW w:w="3965" w:type="dxa"/>
                </w:tcPr>
                <w:p>
                  <w:pPr>
                    <w:shd w:val="clear" w:color="auto" w:fill="EBF1DE" w:themeFill="accent3" w:themeFillTint="32"/>
                  </w:pPr>
                  <w:r>
                    <w:rPr>
                      <w:rFonts w:hint="eastAsia"/>
                    </w:rPr>
                    <w:t>制定相应管理文件，组织员工参与岗位环境因素的识别，岗位重要因素的培训</w:t>
                  </w:r>
                </w:p>
              </w:tc>
              <w:tc>
                <w:tcPr>
                  <w:tcW w:w="1717" w:type="dxa"/>
                </w:tcPr>
                <w:p>
                  <w:pPr>
                    <w:shd w:val="clear" w:color="auto" w:fill="EBF1DE" w:themeFill="accent3" w:themeFillTint="32"/>
                    <w:rPr>
                      <w:rFonts w:hint="eastAsia" w:eastAsia="宋体"/>
                      <w:lang w:eastAsia="zh-CN"/>
                    </w:rPr>
                  </w:pPr>
                  <w:r>
                    <w:rPr>
                      <w:rFonts w:hint="eastAsia"/>
                      <w:lang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适用环境法律法规的识别、收集及宣传不够，相对应公司内部活动及环境因素不够明确，部分员工守法意识淡薄。</w:t>
                  </w:r>
                </w:p>
              </w:tc>
              <w:tc>
                <w:tcPr>
                  <w:tcW w:w="3965" w:type="dxa"/>
                </w:tcPr>
                <w:p>
                  <w:pPr>
                    <w:shd w:val="clear" w:color="auto" w:fill="EBF1DE" w:themeFill="accent3" w:themeFillTint="32"/>
                  </w:pPr>
                  <w:r>
                    <w:rPr>
                      <w:rFonts w:hint="eastAsia"/>
                    </w:rPr>
                    <w:t>加强识别、收集，定期更新，重要条款予以培训或纳入制度中。</w:t>
                  </w:r>
                </w:p>
              </w:tc>
              <w:tc>
                <w:tcPr>
                  <w:tcW w:w="1717" w:type="dxa"/>
                </w:tcPr>
                <w:p>
                  <w:pPr>
                    <w:shd w:val="clear" w:color="auto" w:fill="EBF1DE" w:themeFill="accent3" w:themeFillTint="32"/>
                  </w:pPr>
                  <w:r>
                    <w:rPr>
                      <w:rFonts w:hint="eastAsia"/>
                      <w:lang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未履行合规义务可损害组织的声誉或导致诉讼；</w:t>
                  </w:r>
                </w:p>
              </w:tc>
              <w:tc>
                <w:tcPr>
                  <w:tcW w:w="3965" w:type="dxa"/>
                </w:tcPr>
                <w:p>
                  <w:pPr>
                    <w:shd w:val="clear" w:color="auto" w:fill="EBF1DE" w:themeFill="accent3" w:themeFillTint="32"/>
                  </w:pPr>
                  <w:r>
                    <w:rPr>
                      <w:rFonts w:hint="eastAsia"/>
                    </w:rPr>
                    <w:t>加强对法律法规执行，遵守法规要求，更多地履行合规义务，能够提升组织的声誉</w:t>
                  </w:r>
                </w:p>
              </w:tc>
              <w:tc>
                <w:tcPr>
                  <w:tcW w:w="1717" w:type="dxa"/>
                </w:tcPr>
                <w:p>
                  <w:pPr>
                    <w:shd w:val="clear" w:color="auto" w:fill="EBF1DE" w:themeFill="accent3" w:themeFillTint="32"/>
                  </w:pPr>
                  <w:r>
                    <w:rPr>
                      <w:rFonts w:hint="eastAsia"/>
                      <w:lang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rPr>
              <w:sym w:font="Wingdings 2" w:char="0052"/>
            </w:r>
            <w:r>
              <w:rPr>
                <w:rFonts w:hint="eastAsia"/>
                <w:lang w:eastAsia="zh-CN"/>
              </w:rPr>
              <w:t>固</w:t>
            </w:r>
            <w:r>
              <w:rPr>
                <w:rFonts w:hint="eastAsia"/>
              </w:rPr>
              <w:t>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rPr>
              <w:sym w:font="Wingdings 2" w:char="0052"/>
            </w:r>
            <w:r>
              <w:rPr>
                <w:rFonts w:hint="eastAsia"/>
                <w:lang w:eastAsia="zh-CN"/>
              </w:rPr>
              <w:t>固废合理分类</w:t>
            </w:r>
            <w:r>
              <w:rPr>
                <w:rFonts w:hint="eastAsia"/>
              </w:rPr>
              <w:t>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20" w:lineRule="exact"/>
                    <w:rPr>
                      <w:rFonts w:hint="eastAsia" w:ascii="Times New Roman" w:hAnsi="宋体" w:eastAsia="宋体" w:cs="Times New Roman"/>
                      <w:bCs/>
                      <w:kern w:val="2"/>
                      <w:sz w:val="21"/>
                      <w:szCs w:val="24"/>
                      <w:lang w:val="en-US" w:eastAsia="zh-CN" w:bidi="ar-SA"/>
                    </w:rPr>
                  </w:pPr>
                  <w:r>
                    <w:rPr>
                      <w:rFonts w:hint="eastAsia" w:hAnsi="宋体"/>
                      <w:bCs/>
                    </w:rPr>
                    <w:t>废电池、日光灯集中回收率100%</w:t>
                  </w:r>
                </w:p>
              </w:tc>
              <w:tc>
                <w:tcPr>
                  <w:tcW w:w="3136" w:type="dxa"/>
                  <w:shd w:val="clear" w:color="auto" w:fill="auto"/>
                  <w:vAlign w:val="top"/>
                </w:tcPr>
                <w:p>
                  <w:pPr>
                    <w:spacing w:line="320" w:lineRule="exact"/>
                    <w:rPr>
                      <w:rFonts w:hint="eastAsia" w:hAnsi="宋体"/>
                      <w:bCs/>
                    </w:rPr>
                  </w:pPr>
                  <w:r>
                    <w:rPr>
                      <w:rFonts w:hint="eastAsia" w:hAnsi="宋体"/>
                      <w:bCs/>
                    </w:rPr>
                    <w:t>1.废电池用塑料袋装好，做好标识，交办公室集中回收，统一处理。</w:t>
                  </w:r>
                </w:p>
                <w:p>
                  <w:pPr>
                    <w:spacing w:line="320" w:lineRule="exact"/>
                    <w:rPr>
                      <w:rFonts w:hint="eastAsia" w:ascii="Times New Roman" w:hAnsi="宋体" w:eastAsia="宋体" w:cs="Times New Roman"/>
                      <w:bCs/>
                      <w:kern w:val="2"/>
                      <w:sz w:val="21"/>
                      <w:szCs w:val="24"/>
                      <w:lang w:val="en-GB" w:eastAsia="zh-CN" w:bidi="ar-SA"/>
                    </w:rPr>
                  </w:pPr>
                  <w:r>
                    <w:rPr>
                      <w:rFonts w:hint="eastAsia" w:hAnsi="宋体"/>
                      <w:bCs/>
                    </w:rPr>
                    <w:t>2.废日光灯放入专用垃圾箱，做好标识，交办公室集中回收，统一处理。</w:t>
                  </w:r>
                </w:p>
              </w:tc>
              <w:tc>
                <w:tcPr>
                  <w:tcW w:w="1350" w:type="dxa"/>
                  <w:shd w:val="clear" w:color="auto" w:fill="auto"/>
                  <w:vAlign w:val="top"/>
                </w:tcPr>
                <w:p>
                  <w:pPr>
                    <w:spacing w:line="320" w:lineRule="exact"/>
                    <w:rPr>
                      <w:rFonts w:hint="eastAsia" w:ascii="Times New Roman" w:hAnsi="宋体" w:eastAsia="宋体" w:cs="Times New Roman"/>
                      <w:bCs/>
                      <w:kern w:val="2"/>
                      <w:sz w:val="21"/>
                      <w:szCs w:val="24"/>
                      <w:lang w:val="en-GB" w:eastAsia="zh-CN" w:bidi="ar-SA"/>
                    </w:rPr>
                  </w:pPr>
                  <w:r>
                    <w:rPr>
                      <w:rFonts w:hint="eastAsia" w:hAnsi="宋体"/>
                      <w:bCs/>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20" w:lineRule="exact"/>
                    <w:rPr>
                      <w:rFonts w:hint="eastAsia" w:ascii="Times New Roman" w:hAnsi="宋体" w:eastAsia="宋体" w:cs="Times New Roman"/>
                      <w:bCs/>
                      <w:kern w:val="2"/>
                      <w:sz w:val="21"/>
                      <w:szCs w:val="24"/>
                      <w:lang w:val="en-US" w:eastAsia="zh-CN" w:bidi="ar-SA"/>
                    </w:rPr>
                  </w:pPr>
                  <w:r>
                    <w:rPr>
                      <w:rFonts w:hint="eastAsia" w:hAnsi="宋体"/>
                      <w:bCs/>
                    </w:rPr>
                    <w:t>硒鼓集中回收率100%</w:t>
                  </w:r>
                </w:p>
              </w:tc>
              <w:tc>
                <w:tcPr>
                  <w:tcW w:w="3136" w:type="dxa"/>
                  <w:shd w:val="clear" w:color="auto" w:fill="auto"/>
                  <w:vAlign w:val="top"/>
                </w:tcPr>
                <w:p>
                  <w:pPr>
                    <w:spacing w:line="320" w:lineRule="exact"/>
                    <w:rPr>
                      <w:rFonts w:hint="eastAsia" w:ascii="Times New Roman" w:hAnsi="宋体" w:eastAsia="宋体" w:cs="Times New Roman"/>
                      <w:bCs/>
                      <w:kern w:val="2"/>
                      <w:sz w:val="21"/>
                      <w:szCs w:val="24"/>
                      <w:lang w:val="en-US" w:eastAsia="zh-CN" w:bidi="ar-SA"/>
                    </w:rPr>
                  </w:pPr>
                  <w:r>
                    <w:rPr>
                      <w:rFonts w:hint="eastAsia" w:hAnsi="宋体"/>
                      <w:bCs/>
                    </w:rPr>
                    <w:t>1.废硒鼓用塑料袋装好，做好标识，交办公室集中回收，统一处理。</w:t>
                  </w:r>
                </w:p>
              </w:tc>
              <w:tc>
                <w:tcPr>
                  <w:tcW w:w="1350" w:type="dxa"/>
                  <w:shd w:val="clear" w:color="auto" w:fill="auto"/>
                  <w:vAlign w:val="top"/>
                </w:tcPr>
                <w:p>
                  <w:pPr>
                    <w:spacing w:line="320" w:lineRule="exact"/>
                    <w:rPr>
                      <w:rFonts w:hint="eastAsia" w:ascii="Times New Roman" w:hAnsi="宋体" w:eastAsia="宋体" w:cs="Times New Roman"/>
                      <w:bCs/>
                      <w:kern w:val="2"/>
                      <w:sz w:val="21"/>
                      <w:szCs w:val="24"/>
                      <w:lang w:val="en-US" w:eastAsia="zh-CN" w:bidi="ar-SA"/>
                    </w:rPr>
                  </w:pPr>
                  <w:r>
                    <w:rPr>
                      <w:rFonts w:hint="eastAsia" w:hAnsi="宋体"/>
                      <w:bCs/>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spacing w:line="320" w:lineRule="exact"/>
                    <w:rPr>
                      <w:rFonts w:hint="eastAsia" w:ascii="Times New Roman" w:hAnsi="宋体" w:eastAsia="宋体" w:cs="宋体"/>
                      <w:kern w:val="0"/>
                      <w:sz w:val="21"/>
                      <w:szCs w:val="24"/>
                      <w:lang w:val="en-US" w:eastAsia="zh-CN" w:bidi="ar-SA"/>
                    </w:rPr>
                  </w:pPr>
                  <w:r>
                    <w:rPr>
                      <w:rFonts w:hint="eastAsia" w:hAnsi="宋体" w:cs="宋体"/>
                      <w:kern w:val="0"/>
                    </w:rPr>
                    <w:t>节约用纸，废纸集中</w:t>
                  </w:r>
                  <w:r>
                    <w:rPr>
                      <w:rFonts w:hint="eastAsia" w:hAnsi="宋体"/>
                      <w:bCs/>
                    </w:rPr>
                    <w:t>回收率100%</w:t>
                  </w:r>
                </w:p>
              </w:tc>
              <w:tc>
                <w:tcPr>
                  <w:tcW w:w="3136" w:type="dxa"/>
                  <w:shd w:val="clear" w:color="auto" w:fill="auto"/>
                  <w:vAlign w:val="top"/>
                </w:tcPr>
                <w:p>
                  <w:pPr>
                    <w:spacing w:line="320" w:lineRule="exact"/>
                    <w:rPr>
                      <w:rFonts w:hint="eastAsia" w:hAnsi="宋体"/>
                      <w:bCs/>
                    </w:rPr>
                  </w:pPr>
                  <w:r>
                    <w:rPr>
                      <w:rFonts w:hint="eastAsia" w:hAnsi="宋体"/>
                      <w:bCs/>
                    </w:rPr>
                    <w:t>1.尽量用电子邮件和内部局域网传递资料，材料纸张采用双面打印。</w:t>
                  </w:r>
                </w:p>
                <w:p>
                  <w:pPr>
                    <w:spacing w:line="320" w:lineRule="exact"/>
                    <w:rPr>
                      <w:rFonts w:hint="eastAsia" w:ascii="Times New Roman" w:hAnsi="宋体" w:eastAsia="宋体" w:cs="Times New Roman"/>
                      <w:bCs/>
                      <w:kern w:val="2"/>
                      <w:sz w:val="21"/>
                      <w:szCs w:val="24"/>
                      <w:lang w:val="en-US" w:eastAsia="zh-CN" w:bidi="ar-SA"/>
                    </w:rPr>
                  </w:pPr>
                  <w:r>
                    <w:rPr>
                      <w:rFonts w:hint="eastAsia" w:hAnsi="宋体"/>
                      <w:bCs/>
                    </w:rPr>
                    <w:t>2.</w:t>
                  </w:r>
                  <w:r>
                    <w:rPr>
                      <w:rFonts w:hint="eastAsia" w:hAnsi="宋体" w:cs="宋体"/>
                      <w:kern w:val="0"/>
                    </w:rPr>
                    <w:t xml:space="preserve"> 废纸放入可回收箱，集中外收废纸收购站。</w:t>
                  </w:r>
                </w:p>
              </w:tc>
              <w:tc>
                <w:tcPr>
                  <w:tcW w:w="1350" w:type="dxa"/>
                  <w:shd w:val="clear" w:color="auto" w:fill="auto"/>
                  <w:vAlign w:val="top"/>
                </w:tcPr>
                <w:p>
                  <w:pPr>
                    <w:spacing w:line="320" w:lineRule="exact"/>
                    <w:rPr>
                      <w:rFonts w:hint="eastAsia" w:ascii="Times New Roman" w:hAnsi="宋体" w:eastAsia="宋体" w:cs="Times New Roman"/>
                      <w:bCs/>
                      <w:kern w:val="2"/>
                      <w:sz w:val="21"/>
                      <w:szCs w:val="24"/>
                      <w:lang w:val="en-US" w:eastAsia="zh-CN" w:bidi="ar-SA"/>
                    </w:rPr>
                  </w:pPr>
                  <w:r>
                    <w:rPr>
                      <w:rFonts w:hint="eastAsia" w:hAnsi="宋体"/>
                      <w:bCs/>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320" w:lineRule="exact"/>
                    <w:rPr>
                      <w:rFonts w:hint="eastAsia" w:ascii="Times New Roman" w:hAnsi="宋体" w:eastAsia="宋体" w:cs="Times New Roman"/>
                      <w:bCs/>
                      <w:kern w:val="2"/>
                      <w:sz w:val="21"/>
                      <w:szCs w:val="24"/>
                      <w:lang w:val="en-US" w:eastAsia="zh-CN" w:bidi="ar-SA"/>
                    </w:rPr>
                  </w:pPr>
                  <w:r>
                    <w:rPr>
                      <w:rFonts w:hint="eastAsia" w:hAnsi="宋体"/>
                      <w:bCs/>
                    </w:rPr>
                    <w:t>办公垃圾不可回收，集中排放率100%</w:t>
                  </w:r>
                </w:p>
              </w:tc>
              <w:tc>
                <w:tcPr>
                  <w:tcW w:w="3136" w:type="dxa"/>
                  <w:shd w:val="clear" w:color="auto" w:fill="auto"/>
                  <w:vAlign w:val="top"/>
                </w:tcPr>
                <w:p>
                  <w:pPr>
                    <w:spacing w:line="320" w:lineRule="exact"/>
                    <w:rPr>
                      <w:rFonts w:hint="eastAsia" w:hAnsi="宋体"/>
                      <w:bCs/>
                    </w:rPr>
                  </w:pPr>
                  <w:r>
                    <w:rPr>
                      <w:rFonts w:hint="eastAsia" w:hAnsi="宋体"/>
                      <w:bCs/>
                    </w:rPr>
                    <w:t>1.不可回收垃圾集中收集，倒入市政垃圾箱或运至垃圾处理。</w:t>
                  </w:r>
                </w:p>
                <w:p>
                  <w:pPr>
                    <w:spacing w:line="320" w:lineRule="exact"/>
                    <w:rPr>
                      <w:rFonts w:hint="eastAsia" w:ascii="Times New Roman" w:hAnsi="宋体" w:eastAsia="宋体" w:cs="Times New Roman"/>
                      <w:bCs/>
                      <w:kern w:val="2"/>
                      <w:sz w:val="21"/>
                      <w:szCs w:val="24"/>
                      <w:lang w:val="en-US" w:eastAsia="zh-CN" w:bidi="ar-SA"/>
                    </w:rPr>
                  </w:pPr>
                  <w:r>
                    <w:rPr>
                      <w:rFonts w:hint="eastAsia" w:hAnsi="宋体"/>
                      <w:bCs/>
                    </w:rPr>
                    <w:t>2.教育员工不随意丢垃圾，加强检查。</w:t>
                  </w:r>
                </w:p>
              </w:tc>
              <w:tc>
                <w:tcPr>
                  <w:tcW w:w="1350" w:type="dxa"/>
                  <w:shd w:val="clear" w:color="auto" w:fill="auto"/>
                  <w:vAlign w:val="top"/>
                </w:tcPr>
                <w:p>
                  <w:pPr>
                    <w:spacing w:line="320" w:lineRule="exact"/>
                    <w:rPr>
                      <w:rFonts w:hint="eastAsia" w:ascii="Times New Roman" w:hAnsi="宋体" w:eastAsia="宋体" w:cs="Times New Roman"/>
                      <w:bCs/>
                      <w:kern w:val="2"/>
                      <w:sz w:val="21"/>
                      <w:szCs w:val="24"/>
                      <w:lang w:val="en-US" w:eastAsia="zh-CN" w:bidi="ar-SA"/>
                    </w:rPr>
                  </w:pPr>
                  <w:r>
                    <w:rPr>
                      <w:rFonts w:hint="eastAsia" w:hAnsi="宋体"/>
                      <w:bCs/>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rPr>
                    <w:t>预防潜在火灾，采取有效措施的合格率100%</w:t>
                  </w:r>
                </w:p>
              </w:tc>
              <w:tc>
                <w:tcPr>
                  <w:tcW w:w="3136" w:type="dxa"/>
                  <w:shd w:val="clear" w:color="auto" w:fill="auto"/>
                  <w:vAlign w:val="top"/>
                </w:tcPr>
                <w:p>
                  <w:pPr>
                    <w:spacing w:line="320" w:lineRule="exact"/>
                    <w:rPr>
                      <w:rFonts w:hint="eastAsia" w:hAnsi="宋体"/>
                      <w:bCs/>
                    </w:rPr>
                  </w:pPr>
                  <w:r>
                    <w:rPr>
                      <w:rFonts w:hint="eastAsia" w:hAnsi="宋体"/>
                      <w:bCs/>
                    </w:rPr>
                    <w:t>1.</w:t>
                  </w:r>
                  <w:r>
                    <w:rPr>
                      <w:rFonts w:hint="eastAsia" w:hAnsi="宋体"/>
                      <w:bCs/>
                      <w:lang w:eastAsia="zh-CN"/>
                    </w:rPr>
                    <w:t>办公区</w:t>
                  </w:r>
                  <w:r>
                    <w:rPr>
                      <w:rFonts w:hint="eastAsia" w:hAnsi="宋体"/>
                      <w:bCs/>
                    </w:rPr>
                    <w:t>配置禁止烟火标志和灭火器。</w:t>
                  </w:r>
                </w:p>
                <w:p>
                  <w:pPr>
                    <w:spacing w:line="320" w:lineRule="exact"/>
                    <w:rPr>
                      <w:rFonts w:hint="eastAsia" w:ascii="Times New Roman" w:hAnsi="宋体" w:eastAsia="宋体" w:cs="Times New Roman"/>
                      <w:bCs/>
                      <w:kern w:val="2"/>
                      <w:sz w:val="21"/>
                      <w:szCs w:val="24"/>
                      <w:lang w:val="en-US" w:eastAsia="zh-CN" w:bidi="ar-SA"/>
                    </w:rPr>
                  </w:pPr>
                  <w:r>
                    <w:rPr>
                      <w:rFonts w:hint="eastAsia" w:hAnsi="宋体"/>
                      <w:bCs/>
                    </w:rPr>
                    <w:t>2. 按照《应急准备与响应预案》及《消防安全管理制度》控制。</w:t>
                  </w:r>
                </w:p>
              </w:tc>
              <w:tc>
                <w:tcPr>
                  <w:tcW w:w="1350" w:type="dxa"/>
                  <w:shd w:val="clear" w:color="auto" w:fill="auto"/>
                  <w:vAlign w:val="top"/>
                </w:tcPr>
                <w:p>
                  <w:pPr>
                    <w:spacing w:line="320" w:lineRule="exact"/>
                    <w:rPr>
                      <w:rFonts w:hint="eastAsia" w:ascii="Times New Roman" w:hAnsi="宋体" w:eastAsia="宋体" w:cs="Times New Roman"/>
                      <w:bCs/>
                      <w:kern w:val="2"/>
                      <w:sz w:val="21"/>
                      <w:szCs w:val="24"/>
                      <w:lang w:val="en-US" w:eastAsia="zh-CN" w:bidi="ar-SA"/>
                    </w:rPr>
                  </w:pPr>
                  <w:r>
                    <w:rPr>
                      <w:rFonts w:hint="eastAsia" w:hAnsi="宋体"/>
                      <w:bCs/>
                      <w:lang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eastAsia="zh-CN"/>
                    </w:rPr>
                    <w:t>完成</w:t>
                  </w:r>
                </w:p>
              </w:tc>
            </w:tr>
          </w:tbl>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2" w:char="0052"/>
            </w:r>
            <w:r>
              <w:rPr>
                <w:rFonts w:hint="eastAsia"/>
              </w:rPr>
              <w:t>人力资源</w:t>
            </w:r>
            <w:r>
              <w:rPr>
                <w:rFonts w:hint="eastAsia"/>
              </w:rPr>
              <w:sym w:font="Wingdings 2" w:char="0052"/>
            </w:r>
            <w:r>
              <w:rPr>
                <w:rFonts w:hint="eastAsia"/>
              </w:rPr>
              <w:t>自然资源</w:t>
            </w:r>
            <w:r>
              <w:rPr>
                <w:rFonts w:hint="eastAsia"/>
              </w:rPr>
              <w:sym w:font="Wingdings 2" w:char="0052"/>
            </w:r>
            <w:r>
              <w:rPr>
                <w:rFonts w:hint="eastAsia"/>
              </w:rPr>
              <w:t>基础设施</w:t>
            </w:r>
            <w:r>
              <w:rPr>
                <w:rFonts w:hint="eastAsia"/>
              </w:rPr>
              <w:sym w:font="Wingdings 2" w:char="00A3"/>
            </w:r>
            <w:r>
              <w:rPr>
                <w:rFonts w:hint="eastAsia"/>
              </w:rPr>
              <w:t>技术</w:t>
            </w:r>
            <w:r>
              <w:rPr>
                <w:rFonts w:hint="eastAsia"/>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 xml:space="preserve">  150  </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eastAsia="zh-CN"/>
              </w:rPr>
            </w:pPr>
            <w:r>
              <w:rPr>
                <w:rFonts w:hint="eastAsia"/>
              </w:rPr>
              <w:t>主要</w:t>
            </w:r>
            <w:r>
              <w:rPr>
                <w:rFonts w:hint="eastAsia"/>
                <w:lang w:eastAsia="zh-CN"/>
              </w:rPr>
              <w:t>办公</w:t>
            </w:r>
            <w:r>
              <w:rPr>
                <w:rFonts w:hint="eastAsia"/>
              </w:rPr>
              <w:t>设备有：</w:t>
            </w:r>
            <w:r>
              <w:rPr>
                <w:rFonts w:hint="eastAsia"/>
                <w:u w:val="single"/>
                <w:lang w:eastAsia="zh-CN"/>
              </w:rPr>
              <w:t>办公桌椅、电脑、电话、打印机、开票机</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eastAsia="zh-CN"/>
              </w:rPr>
              <w:t>灭火器</w:t>
            </w:r>
            <w:r>
              <w:rPr>
                <w:rFonts w:hint="eastAsia"/>
                <w:u w:val="single"/>
              </w:rPr>
              <w:t>）</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hint="eastAsia" w:eastAsia="宋体"/>
                <w:lang w:eastAsia="zh-CN"/>
              </w:rPr>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培训□看板□局域网</w:t>
            </w:r>
            <w:r>
              <w:rPr>
                <w:rFonts w:hint="eastAsia"/>
              </w:rPr>
              <w:sym w:font="Wingdings 2" w:char="0052"/>
            </w:r>
            <w:r>
              <w:rPr>
                <w:rFonts w:hint="eastAsia"/>
              </w:rPr>
              <w:t>其他</w:t>
            </w:r>
            <w:r>
              <w:rPr>
                <w:rFonts w:hint="eastAsia"/>
                <w:lang w:eastAsia="zh-CN"/>
              </w:rPr>
              <w:t>：口头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hint="eastAsia" w:eastAsia="宋体"/>
                <w:lang w:eastAsia="zh-CN"/>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r>
              <w:rPr>
                <w:rFonts w:hint="eastAsia"/>
                <w:lang w:eastAsia="zh-CN"/>
              </w:rPr>
              <w:t>：公开信等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A3"/>
            </w:r>
            <w:r>
              <w:rPr>
                <w:rFonts w:hint="eastAsia"/>
              </w:rPr>
              <w:t>法律法规获取充分，</w:t>
            </w:r>
            <w:r>
              <w:rPr>
                <w:rFonts w:hint="eastAsia"/>
              </w:rPr>
              <w:sym w:font="Wingdings 2" w:char="0052"/>
            </w:r>
            <w:r>
              <w:rPr>
                <w:rFonts w:hint="eastAsia"/>
              </w:rPr>
              <w:t>法律法规获取有遗漏，缺少：</w:t>
            </w:r>
          </w:p>
          <w:p>
            <w:pPr>
              <w:shd w:val="clear" w:color="auto" w:fill="EBF1DE" w:themeFill="accent3" w:themeFillTint="32"/>
              <w:rPr>
                <w:rFonts w:hint="eastAsia" w:eastAsia="宋体"/>
                <w:lang w:eastAsia="zh-CN"/>
              </w:rPr>
            </w:pPr>
            <w:r>
              <w:rPr>
                <w:rFonts w:hint="eastAsia"/>
                <w:lang w:eastAsia="zh-CN"/>
              </w:rPr>
              <w:t>噪声污染防治法不是现行有效版本。</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rPr>
                    <w:t>运行控制；应急准备与响应</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22</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bookmarkStart w:id="34" w:name="_GoBack"/>
            <w:bookmarkEnd w:id="34"/>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5YTFkYjFhYjNiNjIyOTkyMTY0NmZjZDIxZWNjMDcifQ=="/>
  </w:docVars>
  <w:rsids>
    <w:rsidRoot w:val="00000000"/>
    <w:rsid w:val="10A8476E"/>
    <w:rsid w:val="1DC53A47"/>
    <w:rsid w:val="2D946F78"/>
    <w:rsid w:val="3D15564A"/>
    <w:rsid w:val="55C00892"/>
    <w:rsid w:val="6B0D3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18626</Words>
  <Characters>19294</Characters>
  <Lines>150</Lines>
  <Paragraphs>42</Paragraphs>
  <TotalTime>0</TotalTime>
  <ScaleCrop>false</ScaleCrop>
  <LinksUpToDate>false</LinksUpToDate>
  <CharactersWithSpaces>19415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园园</cp:lastModifiedBy>
  <cp:lastPrinted>2019-05-13T03:19:00Z</cp:lastPrinted>
  <dcterms:modified xsi:type="dcterms:W3CDTF">2022-09-07T06:28:59Z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