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0152-2018-AAA-2022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11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中国石油天然气股份有限公司长庆油田分公司第二采油厂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9162100092604199XC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张晓博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任涛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室主任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09348398651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13993437285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ISC-2018-0342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  <w:bookmarkStart w:id="6" w:name="_GoBack"/>
            <w:bookmarkEnd w:id="6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FF0000"/>
                <w:szCs w:val="21"/>
              </w:rPr>
              <w:t>扩大</w:t>
            </w:r>
            <w:bookmarkStart w:id="2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4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FF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原认证范围：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石油及伴生资源的勘探及开发，原油及副产品的生产、储运及所有活动的测量、部门、场所，实际位置。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现认证范围：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bookmarkStart w:id="5" w:name="审核范围"/>
            <w:r>
              <w:rPr>
                <w:rFonts w:hint="eastAsia" w:ascii="宋体" w:hAnsi="宋体" w:cs="宋体"/>
                <w:b/>
                <w:sz w:val="24"/>
                <w:szCs w:val="24"/>
              </w:rPr>
              <w:t>石油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天然气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及伴生资源的勘探及开发，原油及副产品的生产、储运及所有活动的测量、部门、场所，实际位置。</w:t>
            </w:r>
            <w:bookmarkEnd w:id="5"/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原认证级别：AA；</w:t>
            </w:r>
          </w:p>
          <w:p>
            <w:pPr>
              <w:bidi w:val="0"/>
              <w:spacing w:line="500" w:lineRule="exact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现认证级别：AAA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0FF6D6D"/>
    <w:rsid w:val="447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8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209</Characters>
  <Lines>2</Lines>
  <Paragraphs>1</Paragraphs>
  <TotalTime>1</TotalTime>
  <ScaleCrop>false</ScaleCrop>
  <LinksUpToDate>false</LinksUpToDate>
  <CharactersWithSpaces>232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Administrator</cp:lastModifiedBy>
  <dcterms:modified xsi:type="dcterms:W3CDTF">2022-09-08T01:48:57Z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C09FDB70532C48D09B93A2DD3513131E</vt:lpwstr>
  </property>
</Properties>
</file>