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宜春钽铌矿有限公司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0177-2020-2022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0177-2020-2022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宜春钽铌矿有限公司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郭文萍</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ISC-2020-0805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2025-09-29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2022年09月08日 上午</w:t>
            </w:r>
            <w:bookmarkEnd w:id="9"/>
            <w:r>
              <w:rPr>
                <w:rFonts w:hint="eastAsia" w:cs="宋体" w:asciiTheme="minorEastAsia" w:hAnsiTheme="minorEastAsia"/>
                <w:kern w:val="0"/>
                <w:szCs w:val="21"/>
                <w:lang w:val="en-US" w:eastAsia="zh-CN"/>
              </w:rPr>
              <w:t>至9月9日上午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w:t>
            </w:r>
            <w:r>
              <w:rPr>
                <w:rFonts w:hint="eastAsia" w:ascii="宋体" w:hAnsi="宋体"/>
                <w:color w:val="000000"/>
                <w:szCs w:val="21"/>
                <w:shd w:val="pct10" w:color="auto" w:fill="FFFFFF"/>
                <w:lang w:val="en-US" w:eastAsia="zh-CN"/>
              </w:rPr>
              <w:t>21</w:t>
            </w:r>
            <w:r>
              <w:rPr>
                <w:rFonts w:ascii="宋体" w:hAnsi="宋体"/>
                <w:color w:val="000000"/>
                <w:szCs w:val="21"/>
                <w:shd w:val="pct10" w:color="auto" w:fill="FFFFFF"/>
              </w:rPr>
              <w:t>-M1MMS-</w:t>
            </w:r>
            <w:r>
              <w:rPr>
                <w:rFonts w:hint="eastAsia" w:ascii="宋体" w:hAnsi="宋体"/>
                <w:color w:val="000000"/>
                <w:szCs w:val="21"/>
                <w:shd w:val="pct10" w:color="auto" w:fill="FFFFFF"/>
                <w:lang w:val="en-US" w:eastAsia="zh-CN"/>
              </w:rPr>
              <w:t>2</w:t>
            </w:r>
            <w:r>
              <w:rPr>
                <w:rFonts w:ascii="宋体" w:hAnsi="宋体"/>
                <w:color w:val="000000"/>
                <w:szCs w:val="21"/>
                <w:shd w:val="pct10" w:color="auto" w:fill="FFFFFF"/>
              </w:rPr>
              <w:t>274774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周彤</w:t>
            </w:r>
            <w:r>
              <w:rPr>
                <w:rFonts w:ascii="宋体" w:hAnsi="宋体"/>
                <w:color w:val="000000"/>
                <w:szCs w:val="21"/>
                <w:shd w:val="pct10" w:color="auto" w:fill="FFFFFF"/>
              </w:rPr>
              <w:t>20</w:t>
            </w:r>
            <w:r>
              <w:rPr>
                <w:rFonts w:hint="eastAsia" w:ascii="宋体" w:hAnsi="宋体"/>
                <w:color w:val="000000"/>
                <w:szCs w:val="21"/>
                <w:shd w:val="pct10" w:color="auto" w:fill="FFFFFF"/>
                <w:lang w:val="en-US" w:eastAsia="zh-CN"/>
              </w:rPr>
              <w:t>21</w:t>
            </w:r>
            <w:r>
              <w:rPr>
                <w:rFonts w:ascii="宋体" w:hAnsi="宋体"/>
                <w:color w:val="000000"/>
                <w:szCs w:val="21"/>
                <w:shd w:val="pct10" w:color="auto" w:fill="FFFFFF"/>
              </w:rPr>
              <w:t>-M1MMS-</w:t>
            </w:r>
            <w:r>
              <w:rPr>
                <w:rFonts w:hint="eastAsia" w:ascii="宋体" w:hAnsi="宋体"/>
                <w:color w:val="000000"/>
                <w:szCs w:val="21"/>
                <w:shd w:val="pct10" w:color="auto" w:fill="FFFFFF"/>
                <w:lang w:val="en-US" w:eastAsia="zh-CN"/>
              </w:rPr>
              <w:t>2</w:t>
            </w:r>
            <w:r>
              <w:rPr>
                <w:rFonts w:ascii="宋体" w:hAnsi="宋体"/>
                <w:color w:val="000000"/>
                <w:szCs w:val="21"/>
                <w:shd w:val="pct10" w:color="auto" w:fill="FFFFFF"/>
              </w:rPr>
              <w:t>274792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11" w:name="_GoBack"/>
            <w:r>
              <w:rPr>
                <w:rFonts w:hint="eastAsia" w:ascii="宋体" w:hAnsi="宋体" w:eastAsia="宋体" w:cs="Times New Roman"/>
                <w:color w:val="auto"/>
                <w:szCs w:val="21"/>
                <w:lang w:val="en-US" w:eastAsia="zh-CN"/>
              </w:rPr>
              <w:t>生产技术部、运矿车间、采矿场、</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坪石选矿厂、机修厂、销售部</w:t>
            </w:r>
            <w:bookmarkEnd w:id="11"/>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color w:val="auto"/>
          <w:kern w:val="0"/>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p>
    <w:p>
      <w:pPr>
        <w:widowControl/>
        <w:spacing w:line="276" w:lineRule="auto"/>
        <w:rPr>
          <w:rFonts w:cs="宋体" w:asciiTheme="minorEastAsia" w:hAnsiTheme="minorEastAsia"/>
          <w:bCs/>
          <w:color w:val="auto"/>
          <w:kern w:val="0"/>
          <w:szCs w:val="21"/>
        </w:rPr>
      </w:pPr>
      <w:r>
        <w:rPr>
          <w:rFonts w:hint="eastAsia" w:ascii="宋体" w:hAnsi="宋体" w:cs="宋体"/>
          <w:bCs/>
          <w:color w:val="auto"/>
          <w:kern w:val="0"/>
          <w:szCs w:val="21"/>
        </w:rPr>
        <w:t>2.</w:t>
      </w:r>
      <w:r>
        <w:rPr>
          <w:rFonts w:hint="eastAsia" w:asciiTheme="minorEastAsia" w:hAnsiTheme="minorEastAsia"/>
          <w:bCs/>
          <w:color w:val="auto"/>
          <w:szCs w:val="21"/>
        </w:rPr>
        <w:t>内部审核和管理评审</w:t>
      </w:r>
      <w:r>
        <w:rPr>
          <w:rFonts w:cs="宋体" w:asciiTheme="minorEastAsia" w:hAnsiTheme="minorEastAsia"/>
          <w:bCs/>
          <w:color w:val="auto"/>
          <w:kern w:val="0"/>
          <w:szCs w:val="21"/>
        </w:rPr>
        <w:t>的情况：</w:t>
      </w:r>
    </w:p>
    <w:p>
      <w:pPr>
        <w:rPr>
          <w:rFonts w:ascii="宋体" w:hAnsi="宋体"/>
          <w:bCs/>
          <w:color w:val="auto"/>
          <w:szCs w:val="21"/>
        </w:rPr>
      </w:pPr>
      <w:r>
        <w:rPr>
          <w:rStyle w:val="9"/>
          <w:rFonts w:hint="eastAsia" w:ascii="宋体" w:eastAsia="宋体"/>
          <w:color w:val="auto"/>
          <w:sz w:val="21"/>
          <w:szCs w:val="21"/>
        </w:rPr>
        <w:t>2.1内审情况：</w:t>
      </w:r>
      <w:r>
        <w:rPr>
          <w:rFonts w:hint="eastAsia" w:ascii="宋体" w:hAnsi="宋体"/>
          <w:bCs/>
          <w:color w:val="auto"/>
          <w:szCs w:val="21"/>
        </w:rPr>
        <w:t>公司于202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9日</w:t>
      </w:r>
      <w:r>
        <w:rPr>
          <w:rFonts w:hint="eastAsia" w:ascii="宋体" w:hAnsi="宋体"/>
          <w:bCs/>
          <w:color w:val="auto"/>
          <w:szCs w:val="21"/>
        </w:rPr>
        <w:t>-</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11</w:t>
      </w:r>
      <w:r>
        <w:rPr>
          <w:rFonts w:hint="eastAsia" w:ascii="宋体" w:hAnsi="宋体"/>
          <w:bCs/>
          <w:color w:val="auto"/>
          <w:szCs w:val="21"/>
        </w:rPr>
        <w:t>日组织了公司</w:t>
      </w:r>
      <w:r>
        <w:rPr>
          <w:rFonts w:hint="eastAsia" w:ascii="宋体" w:hAnsi="宋体"/>
          <w:b w:val="0"/>
          <w:bCs/>
          <w:color w:val="auto"/>
          <w:szCs w:val="21"/>
          <w:lang w:val="en-US" w:eastAsia="zh-CN"/>
        </w:rPr>
        <w:t>4</w:t>
      </w:r>
      <w:r>
        <w:rPr>
          <w:rFonts w:ascii="宋体" w:hAnsi="宋体"/>
          <w:b w:val="0"/>
          <w:bCs/>
          <w:color w:val="auto"/>
          <w:szCs w:val="21"/>
        </w:rPr>
        <w:t>体系</w:t>
      </w:r>
      <w:r>
        <w:rPr>
          <w:rFonts w:hint="eastAsia" w:ascii="宋体" w:hAnsi="宋体"/>
          <w:b w:val="0"/>
          <w:bCs/>
          <w:color w:val="auto"/>
          <w:szCs w:val="21"/>
          <w:lang w:val="en-US" w:eastAsia="zh-CN"/>
        </w:rPr>
        <w:t>审核</w:t>
      </w:r>
      <w:r>
        <w:rPr>
          <w:rFonts w:ascii="宋体" w:hAnsi="宋体"/>
          <w:bCs/>
          <w:color w:val="auto"/>
          <w:szCs w:val="21"/>
        </w:rPr>
        <w:t>，</w:t>
      </w:r>
      <w:r>
        <w:rPr>
          <w:rFonts w:hint="eastAsia" w:ascii="宋体" w:hAnsi="宋体"/>
          <w:bCs/>
          <w:color w:val="auto"/>
          <w:szCs w:val="21"/>
        </w:rPr>
        <w:t>内审分</w:t>
      </w:r>
      <w:r>
        <w:rPr>
          <w:rFonts w:hint="eastAsia" w:ascii="宋体" w:hAnsi="宋体"/>
          <w:bCs/>
          <w:color w:val="auto"/>
          <w:szCs w:val="21"/>
          <w:lang w:val="en-US" w:eastAsia="zh-CN"/>
        </w:rPr>
        <w:t>4</w:t>
      </w:r>
      <w:r>
        <w:rPr>
          <w:rFonts w:hint="eastAsia" w:ascii="宋体" w:hAnsi="宋体"/>
          <w:bCs/>
          <w:color w:val="auto"/>
          <w:szCs w:val="21"/>
        </w:rPr>
        <w:t>个组，对公司</w:t>
      </w:r>
      <w:r>
        <w:rPr>
          <w:rFonts w:hint="eastAsia" w:ascii="宋体" w:hAnsi="宋体"/>
          <w:bCs/>
          <w:color w:val="auto"/>
          <w:szCs w:val="21"/>
          <w:lang w:val="en-US" w:eastAsia="zh-CN"/>
        </w:rPr>
        <w:t>15</w:t>
      </w:r>
      <w:r>
        <w:rPr>
          <w:rFonts w:hint="eastAsia" w:ascii="宋体" w:hAnsi="宋体"/>
          <w:bCs/>
          <w:color w:val="auto"/>
          <w:szCs w:val="21"/>
        </w:rPr>
        <w:t>个部门进行了全要素的审核，</w:t>
      </w:r>
      <w:r>
        <w:rPr>
          <w:rFonts w:ascii="宋体" w:hAnsi="宋体"/>
          <w:bCs/>
          <w:color w:val="auto"/>
          <w:szCs w:val="21"/>
        </w:rPr>
        <w:t>共开出了</w:t>
      </w:r>
      <w:r>
        <w:rPr>
          <w:rFonts w:hint="eastAsia" w:ascii="宋体" w:hAnsi="宋体"/>
          <w:bCs/>
          <w:color w:val="auto"/>
          <w:szCs w:val="21"/>
          <w:lang w:val="en-US" w:eastAsia="zh-CN"/>
        </w:rPr>
        <w:t>11</w:t>
      </w:r>
      <w:r>
        <w:rPr>
          <w:rFonts w:hint="eastAsia" w:ascii="宋体" w:hAnsi="宋体"/>
          <w:bCs/>
          <w:color w:val="auto"/>
          <w:szCs w:val="21"/>
        </w:rPr>
        <w:t>不</w:t>
      </w:r>
      <w:r>
        <w:rPr>
          <w:rFonts w:ascii="宋体" w:hAnsi="宋体"/>
          <w:bCs/>
          <w:color w:val="auto"/>
          <w:szCs w:val="21"/>
        </w:rPr>
        <w:t>符合项</w:t>
      </w:r>
      <w:r>
        <w:rPr>
          <w:rFonts w:hint="eastAsia" w:ascii="宋体" w:hAnsi="宋体"/>
          <w:bCs/>
          <w:color w:val="auto"/>
          <w:szCs w:val="21"/>
        </w:rPr>
        <w:t>，</w:t>
      </w:r>
      <w:r>
        <w:rPr>
          <w:rFonts w:hint="eastAsia" w:ascii="宋体" w:hAnsi="宋体"/>
          <w:b w:val="0"/>
          <w:bCs/>
          <w:color w:val="auto"/>
          <w:szCs w:val="21"/>
          <w:lang w:val="en-US" w:eastAsia="zh-CN"/>
        </w:rPr>
        <w:t>测量管理体系</w:t>
      </w:r>
      <w:r>
        <w:rPr>
          <w:rFonts w:ascii="宋体" w:hAnsi="宋体"/>
          <w:b w:val="0"/>
          <w:bCs/>
          <w:color w:val="auto"/>
          <w:szCs w:val="21"/>
        </w:rPr>
        <w:t>共开出了</w:t>
      </w:r>
      <w:r>
        <w:rPr>
          <w:rFonts w:hint="eastAsia" w:ascii="宋体" w:hAnsi="宋体"/>
          <w:b w:val="0"/>
          <w:bCs/>
          <w:color w:val="auto"/>
          <w:szCs w:val="21"/>
          <w:lang w:val="en-US" w:eastAsia="zh-CN"/>
        </w:rPr>
        <w:t>1</w:t>
      </w:r>
      <w:r>
        <w:rPr>
          <w:rFonts w:hint="eastAsia" w:ascii="宋体" w:hAnsi="宋体"/>
          <w:b w:val="0"/>
          <w:bCs/>
          <w:color w:val="auto"/>
          <w:szCs w:val="21"/>
        </w:rPr>
        <w:t>不</w:t>
      </w:r>
      <w:r>
        <w:rPr>
          <w:rFonts w:ascii="宋体" w:hAnsi="宋体"/>
          <w:b w:val="0"/>
          <w:bCs/>
          <w:color w:val="auto"/>
          <w:szCs w:val="21"/>
        </w:rPr>
        <w:t>符合项</w:t>
      </w:r>
      <w:r>
        <w:rPr>
          <w:rFonts w:hint="eastAsia" w:ascii="宋体" w:hAnsi="宋体"/>
          <w:b w:val="0"/>
          <w:bCs/>
          <w:color w:val="auto"/>
          <w:szCs w:val="21"/>
        </w:rPr>
        <w:t>，</w:t>
      </w:r>
      <w:r>
        <w:rPr>
          <w:rFonts w:hint="eastAsia" w:ascii="宋体" w:hAnsi="宋体"/>
          <w:bCs/>
          <w:color w:val="auto"/>
          <w:szCs w:val="21"/>
        </w:rPr>
        <w:t>于</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日完成整改。</w:t>
      </w:r>
    </w:p>
    <w:p>
      <w:pPr>
        <w:spacing w:line="276" w:lineRule="auto"/>
        <w:rPr>
          <w:rStyle w:val="9"/>
          <w:rFonts w:ascii="宋体" w:eastAsia="宋体"/>
          <w:color w:val="auto"/>
          <w:sz w:val="21"/>
          <w:szCs w:val="21"/>
        </w:rPr>
      </w:pPr>
    </w:p>
    <w:p>
      <w:pPr>
        <w:spacing w:line="276" w:lineRule="auto"/>
        <w:rPr>
          <w:rStyle w:val="9"/>
          <w:rFonts w:ascii="宋体" w:eastAsia="宋体"/>
          <w:color w:val="auto"/>
          <w:sz w:val="21"/>
          <w:szCs w:val="21"/>
        </w:rPr>
      </w:pPr>
      <w:r>
        <w:rPr>
          <w:rStyle w:val="9"/>
          <w:rFonts w:hint="eastAsia" w:ascii="宋体" w:eastAsia="宋体"/>
          <w:color w:val="auto"/>
          <w:sz w:val="21"/>
          <w:szCs w:val="21"/>
        </w:rPr>
        <w:t>2.2管理评审情况：企</w:t>
      </w:r>
      <w:r>
        <w:rPr>
          <w:rFonts w:hint="eastAsia"/>
          <w:bCs/>
          <w:color w:val="auto"/>
          <w:szCs w:val="21"/>
        </w:rPr>
        <w:t>业</w:t>
      </w:r>
      <w:r>
        <w:rPr>
          <w:rFonts w:hint="eastAsia"/>
          <w:color w:val="auto"/>
          <w:szCs w:val="21"/>
        </w:rPr>
        <w:t>于20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8</w:t>
      </w:r>
      <w:r>
        <w:rPr>
          <w:rFonts w:hint="eastAsia"/>
          <w:color w:val="auto"/>
          <w:szCs w:val="21"/>
        </w:rPr>
        <w:t>月</w:t>
      </w:r>
      <w:r>
        <w:rPr>
          <w:rFonts w:hint="eastAsia"/>
          <w:color w:val="auto"/>
          <w:szCs w:val="21"/>
          <w:lang w:val="en-US" w:eastAsia="zh-CN"/>
        </w:rPr>
        <w:t>25</w:t>
      </w:r>
      <w:r>
        <w:rPr>
          <w:rFonts w:hint="eastAsia"/>
          <w:color w:val="auto"/>
          <w:szCs w:val="21"/>
        </w:rPr>
        <w:t>日</w:t>
      </w:r>
      <w:r>
        <w:rPr>
          <w:color w:val="auto"/>
          <w:szCs w:val="21"/>
        </w:rPr>
        <w:t>开展</w:t>
      </w:r>
      <w:r>
        <w:rPr>
          <w:rFonts w:hint="eastAsia"/>
          <w:color w:val="auto"/>
          <w:szCs w:val="21"/>
        </w:rPr>
        <w:t>了</w:t>
      </w:r>
      <w:r>
        <w:rPr>
          <w:rFonts w:hint="eastAsia"/>
          <w:b w:val="0"/>
          <w:bCs/>
          <w:color w:val="auto"/>
          <w:szCs w:val="21"/>
          <w:lang w:val="en-US" w:eastAsia="zh-CN"/>
        </w:rPr>
        <w:t>一体化</w:t>
      </w:r>
      <w:r>
        <w:rPr>
          <w:rFonts w:hint="eastAsia"/>
          <w:color w:val="auto"/>
          <w:szCs w:val="21"/>
        </w:rPr>
        <w:t>管理评审，</w:t>
      </w:r>
      <w:r>
        <w:rPr>
          <w:rFonts w:hint="eastAsia"/>
          <w:b w:val="0"/>
          <w:bCs/>
          <w:color w:val="auto"/>
          <w:szCs w:val="21"/>
        </w:rPr>
        <w:t>会议</w:t>
      </w:r>
      <w:r>
        <w:rPr>
          <w:b w:val="0"/>
          <w:bCs/>
          <w:color w:val="auto"/>
          <w:szCs w:val="21"/>
        </w:rPr>
        <w:t>由</w:t>
      </w:r>
      <w:r>
        <w:rPr>
          <w:rFonts w:hint="eastAsia"/>
          <w:b w:val="0"/>
          <w:bCs/>
          <w:color w:val="auto"/>
          <w:szCs w:val="21"/>
        </w:rPr>
        <w:t>公司总经理</w:t>
      </w:r>
      <w:r>
        <w:rPr>
          <w:rFonts w:hint="eastAsia"/>
          <w:b w:val="0"/>
          <w:bCs/>
          <w:color w:val="auto"/>
          <w:szCs w:val="21"/>
          <w:lang w:val="en-US" w:eastAsia="zh-CN"/>
        </w:rPr>
        <w:t>涂春根</w:t>
      </w:r>
      <w:r>
        <w:rPr>
          <w:rFonts w:hint="eastAsia"/>
          <w:b w:val="0"/>
          <w:bCs/>
          <w:color w:val="auto"/>
          <w:szCs w:val="21"/>
        </w:rPr>
        <w:t>主持，由</w:t>
      </w:r>
      <w:r>
        <w:rPr>
          <w:b w:val="0"/>
          <w:bCs/>
          <w:color w:val="auto"/>
          <w:szCs w:val="21"/>
        </w:rPr>
        <w:t>管理者代表</w:t>
      </w:r>
      <w:r>
        <w:rPr>
          <w:rFonts w:hint="eastAsia" w:ascii="宋体" w:hAnsi="宋体" w:cs="宋体"/>
          <w:b w:val="0"/>
          <w:bCs/>
          <w:color w:val="auto"/>
          <w:kern w:val="0"/>
          <w:szCs w:val="21"/>
          <w:lang w:val="en-US" w:eastAsia="zh-CN"/>
        </w:rPr>
        <w:t>陈清</w:t>
      </w:r>
      <w:r>
        <w:rPr>
          <w:b w:val="0"/>
          <w:bCs/>
          <w:color w:val="auto"/>
          <w:szCs w:val="21"/>
        </w:rPr>
        <w:t>汇报了体系运行情况。</w:t>
      </w:r>
      <w:r>
        <w:rPr>
          <w:rFonts w:hint="eastAsia"/>
          <w:b w:val="0"/>
          <w:bCs/>
          <w:color w:val="auto"/>
          <w:szCs w:val="21"/>
        </w:rPr>
        <w:t>会议肯定</w:t>
      </w:r>
      <w:r>
        <w:rPr>
          <w:b w:val="0"/>
          <w:bCs/>
          <w:color w:val="auto"/>
          <w:szCs w:val="21"/>
        </w:rPr>
        <w:t>了公司测量管理体系的充分</w:t>
      </w:r>
      <w:r>
        <w:rPr>
          <w:rFonts w:hint="eastAsia"/>
          <w:b w:val="0"/>
          <w:bCs/>
          <w:color w:val="auto"/>
          <w:szCs w:val="21"/>
        </w:rPr>
        <w:t>性</w:t>
      </w:r>
      <w:r>
        <w:rPr>
          <w:b w:val="0"/>
          <w:bCs/>
          <w:color w:val="auto"/>
          <w:szCs w:val="21"/>
        </w:rPr>
        <w:t>、有效性和适宜性</w:t>
      </w:r>
      <w:r>
        <w:rPr>
          <w:rFonts w:hint="eastAsia"/>
          <w:b w:val="0"/>
          <w:bCs/>
          <w:color w:val="auto"/>
          <w:szCs w:val="21"/>
        </w:rPr>
        <w:t>。形成</w:t>
      </w:r>
      <w:r>
        <w:rPr>
          <w:b w:val="0"/>
          <w:bCs/>
          <w:color w:val="auto"/>
          <w:szCs w:val="21"/>
        </w:rPr>
        <w:t>了管理评审报告</w:t>
      </w:r>
      <w:r>
        <w:rPr>
          <w:rFonts w:hint="eastAsia"/>
          <w:b w:val="0"/>
          <w:bCs/>
          <w:color w:val="auto"/>
          <w:szCs w:val="21"/>
        </w:rPr>
        <w:t>，对公司测量管理体系目前存在的</w:t>
      </w:r>
      <w:r>
        <w:rPr>
          <w:rFonts w:hint="eastAsia"/>
          <w:b w:val="0"/>
          <w:bCs/>
          <w:color w:val="auto"/>
          <w:szCs w:val="21"/>
          <w:lang w:val="en-US" w:eastAsia="zh-CN"/>
        </w:rPr>
        <w:t>1</w:t>
      </w:r>
      <w:r>
        <w:rPr>
          <w:rFonts w:hint="eastAsia"/>
          <w:b w:val="0"/>
          <w:bCs/>
          <w:color w:val="auto"/>
          <w:szCs w:val="21"/>
        </w:rPr>
        <w:t>个方面的问题落实了整改部门。</w:t>
      </w: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3.为持续改进而策划的活动的进展企业对识别的关键测量过程进行了持续的控制，</w:t>
      </w:r>
      <w:r>
        <w:rPr>
          <w:rFonts w:hint="eastAsia" w:cs="宋体" w:asciiTheme="minorEastAsia" w:hAnsiTheme="minorEastAsia"/>
          <w:bCs/>
          <w:color w:val="auto"/>
          <w:kern w:val="0"/>
          <w:szCs w:val="21"/>
          <w:lang w:val="en-US" w:eastAsia="zh-CN"/>
        </w:rPr>
        <w:t>未</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数字汽车衡称重</w:t>
      </w:r>
      <w:r>
        <w:rPr>
          <w:rFonts w:hint="eastAsia"/>
          <w:color w:val="auto"/>
        </w:rPr>
        <w:t>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数字汽车衡称重</w:t>
      </w:r>
      <w:r>
        <w:rPr>
          <w:rFonts w:hint="eastAsia"/>
          <w:color w:val="auto"/>
        </w:rPr>
        <w:t>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color w:val="auto"/>
          <w:kern w:val="0"/>
          <w:szCs w:val="21"/>
          <w:lang w:eastAsia="zh-CN"/>
        </w:rPr>
        <w:t>数字汽车衡称重</w:t>
      </w:r>
      <w:r>
        <w:rPr>
          <w:rFonts w:hint="eastAsia"/>
          <w:color w:val="auto"/>
        </w:rPr>
        <w:t>测量过程，采用比对进行有效性确认，满足要求。祥见附件《测量过程有效性确认》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数字汽车衡称重</w:t>
      </w:r>
      <w:r>
        <w:rPr>
          <w:rFonts w:hint="eastAsia"/>
          <w:color w:val="auto"/>
        </w:rPr>
        <w:t>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数字汽车衡称重</w:t>
      </w:r>
      <w:r>
        <w:rPr>
          <w:rFonts w:hint="eastAsia"/>
          <w:color w:val="auto"/>
        </w:rPr>
        <w:t>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w:t>
      </w:r>
      <w:r>
        <w:rPr>
          <w:rFonts w:hint="eastAsia" w:ascii="宋体" w:hAnsi="宋体" w:eastAsia="宋体"/>
          <w:bCs/>
          <w:color w:val="auto"/>
          <w:szCs w:val="21"/>
          <w:lang w:val="en-US" w:eastAsia="zh-CN"/>
        </w:rPr>
        <w:t>计量</w:t>
      </w:r>
      <w:r>
        <w:rPr>
          <w:rFonts w:hint="eastAsia" w:ascii="宋体" w:hAnsi="宋体" w:eastAsia="宋体"/>
          <w:bCs/>
          <w:color w:val="auto"/>
          <w:szCs w:val="21"/>
        </w:rPr>
        <w:t>标准，企业测量设备外送</w:t>
      </w:r>
      <w:r>
        <w:rPr>
          <w:rFonts w:hint="eastAsia" w:ascii="Times New Roman" w:hAnsi="Times New Roman" w:eastAsia="宋体" w:cs="Times New Roman"/>
          <w:color w:val="auto"/>
          <w:szCs w:val="21"/>
          <w:lang w:val="en-US" w:eastAsia="zh-CN"/>
        </w:rPr>
        <w:t>深圳中恒检测技术有限公司、南昌市计量检定站、江西省测绘成果质量监督检验测试中心、江西省宜春市计量所</w:t>
      </w:r>
      <w:r>
        <w:rPr>
          <w:rFonts w:hint="eastAsia"/>
          <w:color w:val="auto"/>
          <w:szCs w:val="21"/>
        </w:rPr>
        <w:t>检定/校准。抽查</w:t>
      </w:r>
      <w:r>
        <w:rPr>
          <w:rFonts w:hint="eastAsia"/>
          <w:color w:val="auto"/>
          <w:szCs w:val="21"/>
          <w:lang w:val="en-US" w:eastAsia="zh-CN"/>
        </w:rPr>
        <w:t>7</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0.88</w:t>
      </w:r>
      <w:r>
        <w:rPr>
          <w:rFonts w:hint="eastAsia" w:ascii="宋体" w:hAnsi="宋体" w:eastAsia="宋体"/>
          <w:bCs/>
          <w:color w:val="auto"/>
          <w:szCs w:val="21"/>
        </w:rPr>
        <w:t>万吨标准煤。</w:t>
      </w:r>
      <w:r>
        <w:rPr>
          <w:rFonts w:hint="eastAsia" w:ascii="宋体" w:hAnsi="宋体" w:eastAsia="宋体"/>
          <w:b/>
          <w:color w:val="auto"/>
          <w:szCs w:val="21"/>
        </w:rPr>
        <w:t>是</w:t>
      </w:r>
      <w:r>
        <w:rPr>
          <w:rFonts w:hint="eastAsia" w:ascii="宋体" w:hAnsi="宋体" w:eastAsia="宋体"/>
          <w:bCs/>
          <w:color w:val="auto"/>
          <w:szCs w:val="21"/>
        </w:rPr>
        <w:t>重点耗能单位，企业建立了能源管理网络图和能源测量设备明细表，能源测量设备配备率满足要求。进出用能单位，应配</w:t>
      </w:r>
      <w:r>
        <w:rPr>
          <w:rFonts w:hint="eastAsia" w:ascii="宋体" w:hAnsi="宋体" w:eastAsia="宋体"/>
          <w:bCs/>
          <w:color w:val="auto"/>
          <w:szCs w:val="21"/>
          <w:lang w:val="en-US" w:eastAsia="zh-CN"/>
        </w:rPr>
        <w:t>6</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6</w:t>
      </w:r>
      <w:r>
        <w:rPr>
          <w:rFonts w:hint="eastAsia" w:ascii="宋体" w:hAnsi="宋体" w:eastAsia="宋体"/>
          <w:bCs/>
          <w:color w:val="auto"/>
          <w:szCs w:val="21"/>
        </w:rPr>
        <w:t>台（件）；进出主要次级用能单位，应配 ：</w:t>
      </w:r>
      <w:r>
        <w:rPr>
          <w:rFonts w:hint="eastAsia" w:ascii="宋体" w:hAnsi="宋体" w:eastAsia="宋体"/>
          <w:bCs/>
          <w:color w:val="auto"/>
          <w:szCs w:val="21"/>
          <w:lang w:val="en-US" w:eastAsia="zh-CN"/>
        </w:rPr>
        <w:t>19</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19</w:t>
      </w:r>
      <w:r>
        <w:rPr>
          <w:rFonts w:hint="eastAsia" w:ascii="宋体" w:hAnsi="宋体" w:eastAsia="宋体"/>
          <w:bCs/>
          <w:color w:val="auto"/>
          <w:szCs w:val="21"/>
        </w:rPr>
        <w:t xml:space="preserve">台（件）；进出主要用能设备（单元）应配 </w:t>
      </w:r>
      <w:r>
        <w:rPr>
          <w:rFonts w:hint="eastAsia" w:ascii="宋体" w:hAnsi="宋体" w:eastAsia="宋体"/>
          <w:bCs/>
          <w:color w:val="auto"/>
          <w:szCs w:val="21"/>
          <w:lang w:val="en-US" w:eastAsia="zh-CN"/>
        </w:rPr>
        <w:t>9</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9</w:t>
      </w:r>
      <w:r>
        <w:rPr>
          <w:rFonts w:hint="eastAsia" w:ascii="宋体" w:hAnsi="宋体" w:eastAsia="宋体"/>
          <w:bCs/>
          <w:color w:val="auto"/>
          <w:szCs w:val="21"/>
        </w:rPr>
        <w:t>台（件）；现场抽查测量设备配备率满足要求，</w:t>
      </w:r>
      <w:r>
        <w:rPr>
          <w:rFonts w:hint="eastAsia" w:ascii="宋体" w:hAnsi="宋体" w:eastAsia="宋体"/>
          <w:bCs/>
          <w:color w:val="auto"/>
          <w:szCs w:val="21"/>
          <w:lang w:val="en-US" w:eastAsia="zh-CN"/>
        </w:rPr>
        <w:t>重点</w:t>
      </w:r>
      <w:r>
        <w:rPr>
          <w:rFonts w:hint="eastAsia" w:ascii="宋体" w:hAnsi="宋体" w:eastAsia="宋体"/>
          <w:bCs/>
          <w:color w:val="auto"/>
          <w:szCs w:val="21"/>
        </w:rPr>
        <w:t>查测量设备检定/校准证书</w:t>
      </w:r>
      <w:r>
        <w:rPr>
          <w:rFonts w:hint="eastAsia" w:ascii="宋体" w:hAnsi="宋体" w:eastAsia="宋体"/>
          <w:bCs/>
          <w:color w:val="auto"/>
          <w:szCs w:val="21"/>
          <w:lang w:val="en-US" w:eastAsia="zh-CN"/>
        </w:rPr>
        <w:t>15</w:t>
      </w:r>
      <w:r>
        <w:rPr>
          <w:rFonts w:hint="eastAsia" w:ascii="宋体" w:hAnsi="宋体" w:eastAsia="宋体"/>
          <w:bCs/>
          <w:color w:val="auto"/>
          <w:szCs w:val="21"/>
        </w:rPr>
        <w:t>台件，经过检定/校准，测量设备检定和精度等级满足要求。公司大部分能源计量数据实现了实时数据采集，经现场抽查设备完好率为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 经过对20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度</w:t>
      </w:r>
      <w:r>
        <w:rPr>
          <w:rFonts w:hint="eastAsia" w:ascii="宋体" w:hAnsi="宋体" w:eastAsia="宋体"/>
          <w:bCs/>
          <w:color w:val="auto"/>
          <w:szCs w:val="21"/>
        </w:rPr>
        <w:t>能源报表的审核确认，能源报表数据、原始记录同步，并进行了损耗分析，对重要的能源数据能定期进行监视核查，能源计量管理满足GB17167要求。</w:t>
      </w:r>
    </w:p>
    <w:p>
      <w:pPr>
        <w:widowControl/>
        <w:spacing w:line="276" w:lineRule="auto"/>
        <w:rPr>
          <w:rFonts w:hint="eastAsia" w:ascii="宋体" w:hAnsi="宋体" w:eastAsia="宋体"/>
          <w:bCs/>
          <w:color w:val="auto"/>
          <w:szCs w:val="21"/>
        </w:rPr>
      </w:pPr>
      <w:r>
        <w:rPr>
          <w:rFonts w:hint="eastAsia" w:ascii="宋体" w:hAnsi="宋体" w:eastAsia="宋体"/>
          <w:bCs/>
          <w:color w:val="auto"/>
          <w:szCs w:val="21"/>
        </w:rPr>
        <w:t>5.对认证审核时提出的的不符合项的纠正措施情况有表述： </w:t>
      </w:r>
    </w:p>
    <w:p>
      <w:pPr>
        <w:widowControl/>
        <w:spacing w:line="276" w:lineRule="auto"/>
        <w:ind w:firstLine="210" w:firstLineChars="100"/>
        <w:rPr>
          <w:rFonts w:hint="eastAsia" w:ascii="宋体" w:hAnsi="宋体" w:eastAsia="宋体"/>
          <w:bCs/>
          <w:color w:val="auto"/>
          <w:szCs w:val="21"/>
          <w:lang w:val="en-US" w:eastAsia="zh-CN"/>
        </w:rPr>
      </w:pPr>
      <w:r>
        <w:rPr>
          <w:rFonts w:hint="eastAsia" w:ascii="宋体" w:hAnsi="宋体" w:eastAsia="宋体"/>
          <w:bCs/>
          <w:color w:val="auto"/>
          <w:szCs w:val="21"/>
        </w:rPr>
        <w:t>查20</w:t>
      </w:r>
      <w:r>
        <w:rPr>
          <w:rFonts w:hint="eastAsia" w:ascii="宋体" w:hAnsi="宋体" w:eastAsia="宋体"/>
          <w:bCs/>
          <w:color w:val="auto"/>
          <w:szCs w:val="21"/>
          <w:lang w:val="en-US" w:eastAsia="zh-CN"/>
        </w:rPr>
        <w:t>21</w:t>
      </w:r>
      <w:r>
        <w:rPr>
          <w:rFonts w:hint="eastAsia" w:ascii="宋体" w:hAnsi="宋体" w:eastAsia="宋体"/>
          <w:bCs/>
          <w:color w:val="auto"/>
          <w:szCs w:val="21"/>
        </w:rPr>
        <w:t>年外审开出了</w:t>
      </w:r>
      <w:r>
        <w:rPr>
          <w:rFonts w:hint="eastAsia" w:ascii="宋体" w:hAnsi="宋体" w:eastAsia="宋体"/>
          <w:bCs/>
          <w:color w:val="auto"/>
          <w:szCs w:val="21"/>
          <w:lang w:val="en-US" w:eastAsia="zh-CN"/>
        </w:rPr>
        <w:t>3</w:t>
      </w:r>
      <w:r>
        <w:rPr>
          <w:rFonts w:hint="eastAsia" w:ascii="宋体" w:hAnsi="宋体" w:eastAsia="宋体"/>
          <w:bCs/>
          <w:color w:val="auto"/>
          <w:szCs w:val="21"/>
        </w:rPr>
        <w:t>项不符合项报告：</w:t>
      </w:r>
      <w:r>
        <w:rPr>
          <w:rFonts w:hint="eastAsia" w:ascii="宋体" w:hAnsi="宋体" w:eastAsia="宋体"/>
          <w:bCs/>
          <w:color w:val="auto"/>
          <w:szCs w:val="21"/>
          <w:lang w:val="en-US" w:eastAsia="zh-CN"/>
        </w:rPr>
        <w:t>1、在采矿场现场审核时，发现编号为VAPN14511844的测量型GNSS接收机自2020年6月购买后未进行过检定或校准。</w:t>
      </w:r>
      <w:r>
        <w:rPr>
          <w:rFonts w:hint="eastAsia" w:ascii="宋体" w:hAnsi="宋体" w:eastAsia="宋体"/>
          <w:bCs/>
          <w:color w:val="auto"/>
          <w:szCs w:val="21"/>
        </w:rPr>
        <w:t>不符合认证</w:t>
      </w:r>
      <w:r>
        <w:rPr>
          <w:rFonts w:hint="eastAsia" w:ascii="宋体" w:hAnsi="宋体" w:eastAsia="宋体"/>
          <w:bCs/>
          <w:color w:val="auto"/>
          <w:szCs w:val="21"/>
          <w:lang w:val="zh-CN"/>
        </w:rPr>
        <w:t>审核准则</w:t>
      </w:r>
      <w:r>
        <w:rPr>
          <w:rFonts w:hint="eastAsia" w:ascii="宋体" w:hAnsi="宋体" w:eastAsia="宋体"/>
          <w:bCs/>
          <w:color w:val="auto"/>
          <w:szCs w:val="21"/>
        </w:rPr>
        <w:t>GB/T19022-2003标准中</w:t>
      </w:r>
      <w:r>
        <w:rPr>
          <w:rFonts w:hint="eastAsia" w:ascii="宋体" w:hAnsi="宋体" w:eastAsia="宋体"/>
          <w:bCs/>
          <w:color w:val="auto"/>
          <w:szCs w:val="21"/>
          <w:lang w:val="en-US" w:eastAsia="zh-CN"/>
        </w:rPr>
        <w:t>7.1.1</w:t>
      </w:r>
      <w:r>
        <w:rPr>
          <w:rFonts w:hint="eastAsia" w:ascii="宋体" w:hAnsi="宋体" w:eastAsia="宋体"/>
          <w:bCs/>
          <w:color w:val="auto"/>
          <w:szCs w:val="21"/>
        </w:rPr>
        <w:t>条。次要不符合</w:t>
      </w:r>
      <w:r>
        <w:rPr>
          <w:rFonts w:hint="eastAsia" w:ascii="宋体" w:hAnsi="宋体" w:eastAsia="宋体"/>
          <w:bCs/>
          <w:color w:val="auto"/>
          <w:szCs w:val="21"/>
          <w:lang w:val="en-US" w:eastAsia="zh-CN"/>
        </w:rPr>
        <w:t>。</w:t>
      </w:r>
    </w:p>
    <w:p>
      <w:pPr>
        <w:widowControl/>
        <w:spacing w:line="276" w:lineRule="auto"/>
        <w:ind w:firstLine="210" w:firstLineChars="100"/>
        <w:rPr>
          <w:rFonts w:hint="eastAsia" w:ascii="宋体" w:hAnsi="宋体" w:eastAsia="宋体"/>
          <w:bCs/>
          <w:color w:val="auto"/>
          <w:szCs w:val="21"/>
          <w:lang w:val="en-US" w:eastAsia="zh-CN"/>
        </w:rPr>
      </w:pPr>
      <w:r>
        <w:rPr>
          <w:rFonts w:hint="eastAsia" w:ascii="宋体" w:hAnsi="宋体" w:eastAsia="宋体"/>
          <w:bCs/>
          <w:color w:val="auto"/>
          <w:szCs w:val="21"/>
          <w:lang w:val="en-US" w:eastAsia="zh-CN"/>
        </w:rPr>
        <w:t>2、在坪石选矿厂审核时，发现测量设备管理台账存在千分尺的编号、确认间隔、检定/校准等信息没有填写。</w:t>
      </w:r>
      <w:r>
        <w:rPr>
          <w:rFonts w:hint="eastAsia" w:ascii="宋体" w:hAnsi="宋体" w:eastAsia="宋体"/>
          <w:bCs/>
          <w:color w:val="auto"/>
          <w:szCs w:val="21"/>
        </w:rPr>
        <w:t>不符合认证</w:t>
      </w:r>
      <w:r>
        <w:rPr>
          <w:rFonts w:hint="eastAsia" w:ascii="宋体" w:hAnsi="宋体" w:eastAsia="宋体"/>
          <w:bCs/>
          <w:color w:val="auto"/>
          <w:szCs w:val="21"/>
          <w:lang w:val="zh-CN"/>
        </w:rPr>
        <w:t>审核准则</w:t>
      </w:r>
      <w:r>
        <w:rPr>
          <w:rFonts w:hint="eastAsia" w:ascii="宋体" w:hAnsi="宋体" w:eastAsia="宋体"/>
          <w:bCs/>
          <w:color w:val="auto"/>
          <w:szCs w:val="21"/>
        </w:rPr>
        <w:t>GB/T19022-2003标准中</w:t>
      </w:r>
      <w:r>
        <w:rPr>
          <w:rFonts w:hint="eastAsia" w:ascii="宋体" w:hAnsi="宋体" w:eastAsia="宋体"/>
          <w:bCs/>
          <w:color w:val="auto"/>
          <w:szCs w:val="21"/>
          <w:lang w:val="en-US" w:eastAsia="zh-CN"/>
        </w:rPr>
        <w:t>6.3.1</w:t>
      </w:r>
      <w:r>
        <w:rPr>
          <w:rFonts w:hint="eastAsia" w:ascii="宋体" w:hAnsi="宋体" w:eastAsia="宋体"/>
          <w:bCs/>
          <w:color w:val="auto"/>
          <w:szCs w:val="21"/>
        </w:rPr>
        <w:t>条。次要不符合</w:t>
      </w:r>
      <w:r>
        <w:rPr>
          <w:rFonts w:hint="eastAsia" w:ascii="宋体" w:hAnsi="宋体" w:eastAsia="宋体"/>
          <w:bCs/>
          <w:color w:val="auto"/>
          <w:szCs w:val="21"/>
          <w:lang w:val="en-US" w:eastAsia="zh-CN"/>
        </w:rPr>
        <w:t>。</w:t>
      </w:r>
    </w:p>
    <w:p>
      <w:pPr>
        <w:widowControl/>
        <w:spacing w:line="276" w:lineRule="auto"/>
        <w:ind w:firstLine="210" w:firstLineChars="100"/>
        <w:rPr>
          <w:rFonts w:hint="eastAsia" w:ascii="宋体" w:hAnsi="宋体" w:eastAsia="宋体"/>
          <w:bCs/>
          <w:color w:val="auto"/>
          <w:szCs w:val="21"/>
        </w:rPr>
      </w:pPr>
      <w:r>
        <w:rPr>
          <w:rFonts w:hint="eastAsia" w:ascii="宋体" w:hAnsi="宋体" w:eastAsia="宋体"/>
          <w:bCs/>
          <w:color w:val="auto"/>
          <w:szCs w:val="21"/>
          <w:lang w:val="en-US" w:eastAsia="zh-CN"/>
        </w:rPr>
        <w:t xml:space="preserve"> 3、在生产技术部化验室现场审核时，发现光谱仪间的温湿度计没有进行检定/校准。</w:t>
      </w:r>
      <w:r>
        <w:rPr>
          <w:rFonts w:hint="eastAsia" w:ascii="宋体" w:hAnsi="宋体" w:eastAsia="宋体"/>
          <w:bCs/>
          <w:color w:val="auto"/>
          <w:szCs w:val="21"/>
        </w:rPr>
        <w:t>不符合认证</w:t>
      </w:r>
      <w:r>
        <w:rPr>
          <w:rFonts w:hint="eastAsia" w:ascii="宋体" w:hAnsi="宋体" w:eastAsia="宋体"/>
          <w:bCs/>
          <w:color w:val="auto"/>
          <w:szCs w:val="21"/>
          <w:lang w:val="zh-CN"/>
        </w:rPr>
        <w:t>审核准则</w:t>
      </w:r>
      <w:r>
        <w:rPr>
          <w:rFonts w:hint="eastAsia" w:ascii="宋体" w:hAnsi="宋体" w:eastAsia="宋体"/>
          <w:bCs/>
          <w:color w:val="auto"/>
          <w:szCs w:val="21"/>
        </w:rPr>
        <w:t>GB/T19022-2003标准中</w:t>
      </w:r>
      <w:r>
        <w:rPr>
          <w:rFonts w:hint="eastAsia" w:ascii="宋体" w:hAnsi="宋体" w:eastAsia="宋体"/>
          <w:bCs/>
          <w:color w:val="auto"/>
          <w:szCs w:val="21"/>
          <w:lang w:val="en-US" w:eastAsia="zh-CN"/>
        </w:rPr>
        <w:t>7.1.1</w:t>
      </w:r>
      <w:r>
        <w:rPr>
          <w:rFonts w:hint="eastAsia" w:ascii="宋体" w:hAnsi="宋体" w:eastAsia="宋体"/>
          <w:bCs/>
          <w:color w:val="auto"/>
          <w:szCs w:val="21"/>
        </w:rPr>
        <w:t>条。次要不符合</w:t>
      </w:r>
      <w:r>
        <w:rPr>
          <w:rFonts w:hint="eastAsia" w:ascii="宋体" w:hAnsi="宋体" w:eastAsia="宋体"/>
          <w:bCs/>
          <w:color w:val="auto"/>
          <w:szCs w:val="21"/>
          <w:lang w:val="en-US" w:eastAsia="zh-CN"/>
        </w:rPr>
        <w:t>。</w:t>
      </w:r>
    </w:p>
    <w:p>
      <w:pPr>
        <w:widowControl/>
        <w:spacing w:line="276" w:lineRule="auto"/>
        <w:ind w:firstLine="210" w:firstLineChars="100"/>
        <w:rPr>
          <w:rFonts w:hint="eastAsia" w:ascii="宋体" w:hAnsi="宋体" w:eastAsia="宋体"/>
          <w:bCs/>
          <w:color w:val="auto"/>
          <w:szCs w:val="21"/>
        </w:rPr>
      </w:pPr>
      <w:r>
        <w:rPr>
          <w:rFonts w:hint="eastAsia" w:ascii="宋体" w:hAnsi="宋体" w:eastAsia="宋体"/>
          <w:bCs/>
          <w:color w:val="auto"/>
          <w:szCs w:val="21"/>
          <w:lang w:val="zh-CN"/>
        </w:rPr>
        <w:t>企业对不符合组织了纠正，1.</w:t>
      </w:r>
      <w:r>
        <w:rPr>
          <w:rFonts w:hint="eastAsia" w:ascii="宋体" w:hAnsi="宋体" w:eastAsia="宋体"/>
          <w:bCs/>
          <w:color w:val="auto"/>
          <w:szCs w:val="21"/>
          <w:lang w:val="en-US" w:eastAsia="zh-CN"/>
        </w:rPr>
        <w:t>公司采矿场的GNSS接收机由江西省测绘成果质量监督检验测试中心于2021年9月18日完成了检定并确认满足使用要求</w:t>
      </w:r>
      <w:r>
        <w:rPr>
          <w:rFonts w:hint="eastAsia" w:ascii="宋体" w:hAnsi="宋体" w:eastAsia="宋体"/>
          <w:bCs/>
          <w:color w:val="auto"/>
          <w:szCs w:val="21"/>
          <w:lang w:val="zh-CN"/>
        </w:rPr>
        <w:t>；2.</w:t>
      </w:r>
      <w:r>
        <w:rPr>
          <w:rFonts w:hint="eastAsia" w:ascii="宋体" w:hAnsi="宋体" w:eastAsia="宋体"/>
          <w:bCs/>
          <w:color w:val="auto"/>
          <w:szCs w:val="21"/>
          <w:lang w:val="en-US" w:eastAsia="zh-CN"/>
        </w:rPr>
        <w:t>坪石选矿厂测量设备管理台账2021年9月15日进行了更新；3.公司化验室的温湿度计由深圳中恒检测技术有限公司于2021年9月13日完成了校准并确认满足使用要求</w:t>
      </w:r>
      <w:r>
        <w:rPr>
          <w:rFonts w:hint="eastAsia" w:ascii="宋体" w:hAnsi="宋体" w:eastAsia="宋体"/>
          <w:bCs/>
          <w:color w:val="auto"/>
          <w:szCs w:val="21"/>
          <w:lang w:val="zh-CN"/>
        </w:rPr>
        <w:t>。验证</w:t>
      </w:r>
      <w:r>
        <w:rPr>
          <w:rFonts w:hint="eastAsia" w:ascii="宋体" w:hAnsi="宋体" w:eastAsia="宋体"/>
          <w:bCs/>
          <w:color w:val="auto"/>
          <w:szCs w:val="21"/>
          <w:lang w:val="en-US" w:eastAsia="zh-CN"/>
        </w:rPr>
        <w:t>3项</w:t>
      </w:r>
      <w:r>
        <w:rPr>
          <w:rFonts w:hint="eastAsia" w:ascii="宋体" w:hAnsi="宋体" w:eastAsia="宋体"/>
          <w:bCs/>
          <w:color w:val="auto"/>
          <w:szCs w:val="21"/>
          <w:lang w:val="zh-CN"/>
        </w:rPr>
        <w:t>不符合项纠正措施有效，同意关闭。</w:t>
      </w:r>
    </w:p>
    <w:p>
      <w:pPr>
        <w:widowControl/>
        <w:numPr>
          <w:ilvl w:val="0"/>
          <w:numId w:val="1"/>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w:t>
      </w:r>
      <w:r>
        <w:rPr>
          <w:rFonts w:hint="eastAsia" w:cs="宋体" w:asciiTheme="minorEastAsia" w:hAnsiTheme="minorEastAsia"/>
          <w:bCs/>
          <w:color w:val="auto"/>
          <w:kern w:val="0"/>
          <w:szCs w:val="21"/>
          <w:lang w:val="en-US" w:eastAsia="zh-CN"/>
        </w:rPr>
        <w:t>至今</w:t>
      </w:r>
      <w:r>
        <w:rPr>
          <w:rFonts w:hint="eastAsia" w:cs="宋体" w:asciiTheme="minorEastAsia" w:hAnsiTheme="minorEastAsia"/>
          <w:bCs/>
          <w:color w:val="auto"/>
          <w:kern w:val="0"/>
          <w:szCs w:val="21"/>
        </w:rPr>
        <w:t>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4</w:t>
      </w:r>
      <w:r>
        <w:rPr>
          <w:rFonts w:hint="eastAsia" w:ascii="宋体" w:hAnsi="宋体" w:eastAsia="宋体"/>
          <w:bCs/>
          <w:color w:val="auto"/>
          <w:szCs w:val="21"/>
        </w:rPr>
        <w:t>项质量目标，对目标进行了分解，查20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9</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2022年8月</w:t>
      </w:r>
      <w:r>
        <w:rPr>
          <w:rFonts w:hint="eastAsia" w:ascii="宋体" w:hAnsi="宋体" w:eastAsia="宋体"/>
          <w:bCs/>
          <w:color w:val="auto"/>
          <w:szCs w:val="21"/>
        </w:rPr>
        <w:t>质量目标完成情况检查表，按目标、措施、完成情况、未完成情况进行统计，记录内容全，每月统计，质量目标管理</w:t>
      </w:r>
      <w:r>
        <w:rPr>
          <w:rFonts w:hint="eastAsia" w:ascii="宋体" w:hAnsi="宋体" w:eastAsia="宋体"/>
          <w:bCs/>
          <w:color w:val="auto"/>
          <w:szCs w:val="21"/>
          <w:lang w:val="en-US" w:eastAsia="zh-CN"/>
        </w:rPr>
        <w:t>基本</w:t>
      </w:r>
      <w:r>
        <w:rPr>
          <w:rFonts w:hint="eastAsia" w:ascii="宋体" w:hAnsi="宋体" w:eastAsia="宋体"/>
          <w:bCs/>
          <w:color w:val="auto"/>
          <w:szCs w:val="21"/>
        </w:rPr>
        <w:t>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企业营业执照和组织机构未发生变化。</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spacing w:before="156" w:beforeLines="50" w:line="360" w:lineRule="auto"/>
        <w:ind w:right="-512" w:rightChars="-244"/>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pacing w:before="156" w:beforeLines="50" w:line="360" w:lineRule="auto"/>
        <w:ind w:right="-512" w:rightChars="-244"/>
        <w:rPr>
          <w:rFonts w:ascii="宋体" w:hAnsi="宋体"/>
          <w:color w:val="auto"/>
          <w:szCs w:val="21"/>
        </w:rPr>
      </w:pPr>
      <w:r>
        <w:rPr>
          <w:rFonts w:hint="eastAsia"/>
          <w:color w:val="auto"/>
        </w:rPr>
        <w:t>1</w:t>
      </w:r>
      <w:r>
        <w:rPr>
          <w:color w:val="auto"/>
        </w:rPr>
        <w:t>0.本次监督审核未发现严重不符合项</w:t>
      </w:r>
      <w:r>
        <w:rPr>
          <w:rFonts w:hint="eastAsia"/>
          <w:color w:val="auto"/>
        </w:rPr>
        <w:t>，发现一般</w:t>
      </w:r>
      <w:r>
        <w:rPr>
          <w:color w:val="auto"/>
        </w:rPr>
        <w:t>不符合项</w:t>
      </w:r>
      <w:r>
        <w:rPr>
          <w:rFonts w:hint="eastAsia"/>
          <w:color w:val="auto"/>
        </w:rPr>
        <w:t>1项</w:t>
      </w:r>
      <w:r>
        <w:rPr>
          <w:color w:val="auto"/>
        </w:rPr>
        <w:t>。</w:t>
      </w:r>
      <w:r>
        <w:rPr>
          <w:rFonts w:hint="eastAsia" w:ascii="宋体" w:hAnsi="宋体"/>
          <w:color w:val="auto"/>
          <w:szCs w:val="21"/>
        </w:rPr>
        <w:t xml:space="preserve"> </w:t>
      </w:r>
    </w:p>
    <w:p>
      <w:pPr>
        <w:widowControl/>
        <w:spacing w:line="360" w:lineRule="auto"/>
        <w:ind w:firstLine="420" w:firstLineChars="200"/>
        <w:jc w:val="left"/>
        <w:rPr>
          <w:rFonts w:ascii="宋体" w:hAnsi="宋体"/>
          <w:color w:val="auto"/>
          <w:szCs w:val="21"/>
        </w:rPr>
      </w:pPr>
      <w:r>
        <w:rPr>
          <w:rFonts w:hint="eastAsia" w:ascii="宋体" w:hAnsi="宋体" w:cs="宋体"/>
          <w:color w:val="auto"/>
          <w:kern w:val="0"/>
          <w:szCs w:val="21"/>
          <w:lang w:val="en-US" w:eastAsia="zh-CN"/>
        </w:rPr>
        <w:t>在</w:t>
      </w:r>
      <w:r>
        <w:rPr>
          <w:rFonts w:hint="eastAsia" w:ascii="宋体" w:hAnsi="宋体" w:eastAsia="宋体" w:cs="Times New Roman"/>
          <w:color w:val="auto"/>
          <w:szCs w:val="21"/>
          <w:lang w:val="en-US" w:eastAsia="zh-CN"/>
        </w:rPr>
        <w:t>运矿车间</w:t>
      </w:r>
      <w:r>
        <w:rPr>
          <w:rFonts w:hint="eastAsia" w:ascii="宋体" w:hAnsi="宋体" w:cs="Times New Roman"/>
          <w:color w:val="auto"/>
          <w:szCs w:val="21"/>
          <w:lang w:val="en-US" w:eastAsia="zh-CN"/>
        </w:rPr>
        <w:t>审核时，发现编号2021003动态电子矿车衡采用自校，校准规范中采用砝码进行校准，但砝码没有纳入测量设备的台账管理。</w:t>
      </w:r>
      <w:r>
        <w:rPr>
          <w:rFonts w:ascii="宋体" w:hAnsi="宋体"/>
          <w:color w:val="auto"/>
          <w:szCs w:val="21"/>
        </w:rPr>
        <w:t>不符合</w:t>
      </w:r>
      <w:r>
        <w:rPr>
          <w:rFonts w:hint="eastAsia" w:ascii="宋体" w:hAnsi="宋体"/>
          <w:color w:val="auto"/>
          <w:szCs w:val="21"/>
        </w:rPr>
        <w:t>认证</w:t>
      </w:r>
      <w:r>
        <w:rPr>
          <w:rFonts w:ascii="宋体" w:hAnsi="宋体"/>
          <w:color w:val="auto"/>
          <w:szCs w:val="21"/>
        </w:rPr>
        <w:t>审核准则条款号：</w:t>
      </w:r>
      <w:r>
        <w:rPr>
          <w:rFonts w:hint="eastAsia" w:ascii="宋体" w:hAnsi="宋体"/>
          <w:color w:val="auto"/>
          <w:szCs w:val="21"/>
        </w:rPr>
        <w:t xml:space="preserve"> GB/T19022-2003</w:t>
      </w:r>
      <w:r>
        <w:rPr>
          <w:rFonts w:ascii="宋体" w:hAnsi="宋体"/>
          <w:color w:val="auto"/>
          <w:szCs w:val="21"/>
        </w:rPr>
        <w:t>中</w:t>
      </w:r>
      <w:r>
        <w:rPr>
          <w:rFonts w:hint="eastAsia" w:ascii="宋体" w:hAnsi="宋体"/>
          <w:color w:val="auto"/>
          <w:szCs w:val="21"/>
          <w:lang w:val="en-US" w:eastAsia="zh-CN"/>
        </w:rPr>
        <w:t>6.3.1</w:t>
      </w:r>
      <w:r>
        <w:rPr>
          <w:rFonts w:hint="eastAsia" w:ascii="宋体" w:hAnsi="宋体"/>
          <w:color w:val="auto"/>
          <w:szCs w:val="21"/>
        </w:rPr>
        <w:t>的要求 ，为</w:t>
      </w:r>
      <w:r>
        <w:rPr>
          <w:rFonts w:ascii="宋体" w:hAnsi="宋体"/>
          <w:color w:val="auto"/>
          <w:szCs w:val="21"/>
        </w:rPr>
        <w:t>次要不符合</w:t>
      </w:r>
      <w:r>
        <w:rPr>
          <w:rFonts w:hint="eastAsia" w:ascii="宋体" w:hAnsi="宋体"/>
          <w:color w:val="auto"/>
          <w:szCs w:val="21"/>
        </w:rPr>
        <w:t xml:space="preserve"> 。</w:t>
      </w:r>
    </w:p>
    <w:p>
      <w:pPr>
        <w:widowControl/>
        <w:spacing w:line="276" w:lineRule="auto"/>
        <w:ind w:firstLine="420" w:firstLineChars="200"/>
        <w:rPr>
          <w:rFonts w:hint="eastAsia" w:cs="宋体" w:asciiTheme="minorEastAsia" w:hAnsiTheme="minorEastAsia"/>
          <w:bCs/>
          <w:color w:val="auto"/>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jc w:val="left"/>
        <w:textAlignment w:val="auto"/>
        <w:rPr>
          <w:color w:val="auto"/>
        </w:rPr>
      </w:pPr>
      <w:r>
        <w:rPr>
          <w:rFonts w:hint="eastAsia"/>
          <w:color w:val="auto"/>
          <w:lang w:val="en-US" w:eastAsia="zh-CN"/>
        </w:rPr>
        <w:t>11.</w:t>
      </w:r>
      <w:r>
        <w:rPr>
          <w:color w:val="auto"/>
        </w:rPr>
        <w:t>涉及产品的销售和售后、维修业务与测量管理体系有关内容的审核情况：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firstLine="420" w:firstLineChars="200"/>
        <w:jc w:val="left"/>
        <w:textAlignment w:val="auto"/>
        <w:rPr>
          <w:rFonts w:hint="eastAsia" w:ascii="宋体" w:hAnsi="宋体"/>
          <w:color w:val="auto"/>
        </w:rPr>
      </w:pPr>
      <w:r>
        <w:rPr>
          <w:color w:val="auto"/>
        </w:rPr>
        <w:t xml:space="preserve"> </w:t>
      </w:r>
      <w:r>
        <w:rPr>
          <w:rFonts w:hint="eastAsia" w:ascii="宋体" w:hAnsi="宋体"/>
          <w:color w:val="auto"/>
        </w:rPr>
        <w:t>抽查宜春钽铌矿有限公司矿产品购销合同，合同编号TNK(2022)-XS219，签订时间2022年7月15日。确认该公司对应的产品生产过程涉及有对应的测量过程和测量设备，测量设备电子台秤等的配备可满足该合同产品的生产和检验要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27" w:rightChars="-13" w:firstLine="420" w:firstLineChars="200"/>
        <w:jc w:val="left"/>
        <w:textAlignment w:val="auto"/>
        <w:rPr>
          <w:rFonts w:hint="eastAsia" w:cs="宋体" w:asciiTheme="minorEastAsia" w:hAnsiTheme="minorEastAsia"/>
          <w:bCs/>
          <w:color w:val="auto"/>
          <w:kern w:val="0"/>
          <w:szCs w:val="21"/>
        </w:rPr>
      </w:pPr>
      <w:r>
        <w:rPr>
          <w:rFonts w:hint="eastAsia" w:ascii="宋体" w:hAnsi="宋体"/>
          <w:color w:val="auto"/>
        </w:rPr>
        <w:t>抽查宜春钽铌矿有限公司矿产品购销合同，合同编号TNK(2022)-XS-141，签订时间2022年8月22日,有质量保证及售后服务条款，其中：“九对账1、买方在验收中，如发现产品的品种、质量和数量不合规定，应一面妥为保管，一面在5天内向卖方提出书面异议；期间，买方有权拒付合同规定的货款”；“十违约责任4、如果卖方提交产品经买方复检发现数量或质量有不符合合同规定，由卖方确认后负责补货、换货，并承担补货、换货或退货而产生的实际费用。”</w:t>
      </w:r>
    </w:p>
    <w:p>
      <w:pPr>
        <w:widowControl/>
        <w:spacing w:line="276" w:lineRule="auto"/>
        <w:rPr>
          <w:rFonts w:hint="eastAsia" w:cs="宋体" w:asciiTheme="minorEastAsia" w:hAnsiTheme="minorEastAsia"/>
          <w:bCs/>
          <w:color w:val="auto"/>
          <w:kern w:val="0"/>
          <w:szCs w:val="21"/>
        </w:rPr>
      </w:pP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9</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8</w:t>
      </w:r>
      <w:r>
        <w:rPr>
          <w:rStyle w:val="10"/>
          <w:rFonts w:ascii="宋体" w:hAnsi="宋体" w:eastAsia="宋体"/>
          <w:color w:val="auto"/>
          <w:sz w:val="21"/>
          <w:szCs w:val="21"/>
        </w:rPr>
        <w:t>日</w:t>
      </w:r>
      <w:r>
        <w:rPr>
          <w:rStyle w:val="10"/>
          <w:rFonts w:hint="eastAsia" w:ascii="宋体" w:hAnsi="宋体" w:eastAsia="宋体"/>
          <w:color w:val="auto"/>
          <w:sz w:val="21"/>
          <w:szCs w:val="21"/>
        </w:rPr>
        <w:t>-</w:t>
      </w:r>
      <w:r>
        <w:rPr>
          <w:rStyle w:val="10"/>
          <w:rFonts w:hint="eastAsia" w:ascii="宋体" w:hAnsi="宋体" w:eastAsia="宋体"/>
          <w:color w:val="auto"/>
          <w:sz w:val="21"/>
          <w:szCs w:val="21"/>
          <w:lang w:val="en-US" w:eastAsia="zh-CN"/>
        </w:rPr>
        <w:t>9</w:t>
      </w:r>
      <w:r>
        <w:rPr>
          <w:rStyle w:val="10"/>
          <w:rFonts w:hint="eastAsia" w:ascii="宋体" w:hAnsi="宋体" w:eastAsia="宋体"/>
          <w:color w:val="auto"/>
          <w:sz w:val="21"/>
          <w:szCs w:val="21"/>
        </w:rPr>
        <w:t>日</w:t>
      </w:r>
      <w:r>
        <w:rPr>
          <w:rStyle w:val="10"/>
          <w:rFonts w:hint="eastAsia" w:ascii="宋体" w:hAnsi="宋体" w:eastAsia="宋体"/>
          <w:color w:val="auto"/>
          <w:sz w:val="21"/>
          <w:szCs w:val="21"/>
          <w:lang w:val="en-US" w:eastAsia="zh-CN"/>
        </w:rPr>
        <w:t>上午</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Fonts w:cs="宋体" w:asciiTheme="minorEastAsia" w:hAnsiTheme="minorEastAsia"/>
          <w:color w:val="auto"/>
          <w:kern w:val="0"/>
          <w:szCs w:val="21"/>
        </w:rPr>
        <w:t>宜春钽铌矿有限公司</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w:t>
      </w:r>
      <w:r>
        <w:rPr>
          <w:rFonts w:cs="宋体" w:asciiTheme="minorEastAsia" w:hAnsiTheme="minorEastAsia"/>
          <w:color w:val="auto"/>
          <w:kern w:val="0"/>
          <w:szCs w:val="21"/>
        </w:rPr>
        <w:t>宜春钽铌矿有限公司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eastAsia="宋体"/>
          <w:color w:val="000000"/>
          <w:szCs w:val="21"/>
          <w:lang w:eastAsia="zh-CN"/>
        </w:rPr>
        <w:drawing>
          <wp:inline distT="0" distB="0" distL="114300" distR="114300">
            <wp:extent cx="1052195" cy="541655"/>
            <wp:effectExtent l="0" t="0" r="14605" b="6985"/>
            <wp:docPr id="2"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郭小红"/>
                    <pic:cNvPicPr>
                      <a:picLocks noChangeAspect="1"/>
                    </pic:cNvPicPr>
                  </pic:nvPicPr>
                  <pic:blipFill>
                    <a:blip r:embed="rId6"/>
                    <a:stretch>
                      <a:fillRect/>
                    </a:stretch>
                  </pic:blipFill>
                  <pic:spPr>
                    <a:xfrm>
                      <a:off x="0" y="0"/>
                      <a:ext cx="1052195" cy="541655"/>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2022.9.9</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default"/>
          <w:color w:val="000000"/>
          <w:szCs w:val="21"/>
          <w:lang w:val="en-US"/>
        </w:rPr>
        <w:drawing>
          <wp:inline distT="0" distB="0" distL="114300" distR="114300">
            <wp:extent cx="675640" cy="526415"/>
            <wp:effectExtent l="0" t="0" r="10160" b="6985"/>
            <wp:docPr id="3" name="图片 2" descr="周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周彤"/>
                    <pic:cNvPicPr>
                      <a:picLocks noChangeAspect="1"/>
                    </pic:cNvPicPr>
                  </pic:nvPicPr>
                  <pic:blipFill>
                    <a:blip r:embed="rId7"/>
                    <a:stretch>
                      <a:fillRect/>
                    </a:stretch>
                  </pic:blipFill>
                  <pic:spPr>
                    <a:xfrm>
                      <a:off x="0" y="0"/>
                      <a:ext cx="675640" cy="526415"/>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2022，9，9</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15AA0E72"/>
    <w:rsid w:val="1F306658"/>
    <w:rsid w:val="330A3B98"/>
    <w:rsid w:val="3DED50FA"/>
    <w:rsid w:val="422A3F60"/>
    <w:rsid w:val="51842D6A"/>
    <w:rsid w:val="52442E01"/>
    <w:rsid w:val="53121EB5"/>
    <w:rsid w:val="5CB64FD4"/>
    <w:rsid w:val="5F1C4705"/>
    <w:rsid w:val="635C1E7A"/>
    <w:rsid w:val="63A5450B"/>
    <w:rsid w:val="65CE7D1B"/>
    <w:rsid w:val="690F33FB"/>
    <w:rsid w:val="7EE34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郭小红</cp:lastModifiedBy>
  <cp:lastPrinted>2017-09-01T06:24:00Z</cp:lastPrinted>
  <dcterms:modified xsi:type="dcterms:W3CDTF">2022-09-20T02:34:11Z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726E8F0668B84DF28D4362E11E303349</vt:lpwstr>
  </property>
</Properties>
</file>