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安徽雪域燕果食品有限公司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安徽省合肥市肥东县肥东经济开发区团结路南侧</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安徽省合肥市肥东县肥东经济开发区团结路南侧</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91340122MA2RJ9MA5N</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18156256769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林波</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林波</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F：GB/T22000-2006/ISO22000:2005,H：GB/T27341-2009/GB14881-2013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F:二阶段,H:二阶段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F：水果制品（葡萄干的生产、枣分装）和坚果制品（核桃）分装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H：水果制品（葡萄干的生产、枣分装）和坚果制品（核桃）分装</w:t>
      </w:r>
      <w:bookmarkEnd w:id="14"/>
      <w:bookmarkStart w:id="15" w:name="_GoBack"/>
      <w:bookmarkStart w:id="16" w:name="审核范围英"/>
      <w:r>
        <w:rPr>
          <w:rFonts w:hint="eastAsia"/>
          <w:b/>
          <w:color w:val="000000" w:themeColor="text1"/>
          <w:sz w:val="22"/>
          <w:szCs w:val="22"/>
        </w:rPr>
        <w:t>F：水果制品（葡萄干的生产、枣分装）和坚果制品（核桃）分装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H：水果制品（葡萄干的生产、枣分装）和坚果制品（核桃）分装</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