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嘉兴市嘉环园林工程有限公司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周涛，范玲玲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2022年09月01日 上午至2022年09月01日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远程视频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91330401728898722G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2001年4月30日—2031年4月29日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：一般项目：园林绿化工程施工；专业保洁、清洗、消毒服务；农村生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活垃圾经营性服务；建筑物清洁服务；城市绿化管理；市政设施设施管理；</w:t>
            </w:r>
            <w:r>
              <w:rPr>
                <w:rFonts w:hint="eastAsia"/>
                <w:color w:val="000000"/>
                <w:szCs w:val="21"/>
              </w:rPr>
              <w:t>公共事业管理服务；物业管理；环境卫生公共设施安装服务；环境保护专用设备销售；非居住房地产租赁；普通货物仓储服务（不含危险化学品等需许可审批的项目）；电子、机械设备维护（不含特种设备）；城市公园管理；生活垃圾处理装备销售；建筑废弃物再生技术研发；机械设备租赁；园艺产品种植；花卉种植；污水处理及其再生利用：水污染治理；打捞服务；特种设备出租；特种设备销售；城乡市容管理（除依法须经批准的项目外，凭营业执照依法自主开展经营活动）。许可项目：城市生活垃圾经营性服务；餐厨垃圾处理；城市建筑垃圾处置（清运）；道路货物运输（不含危险货物）；公路管理与养护，特种设备安装改造修理；危险废物经营（依法须经批准的项目，经相关部门批准后方可开展经营活动，具体经营项目以审批结果为准）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许可范围内城市生活垃圾经营性清扫、收集、运输相关的能源管理活动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远程视频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城市生活垃圾经营性清扫、收集、运输服务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浙202110000002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2021年9月3日至2022年9月2日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准许从事城市生活垃圾经营性运输服务。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城市生活垃圾经营性清扫、收集、运输服务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浙202133040204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2021年12月28日至2022年12月31日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准许从事城市生活垃圾经营性清扫、收集服务。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浙江省嘉兴市经济技术开发区青春大厦411室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城市生活垃圾经营性清扫、收集、运输服务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浙江省嘉兴市经济技术开发区青春大厦411室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sz w:val="21"/>
                <w:szCs w:val="21"/>
              </w:rPr>
              <w:t>浙江省嘉兴市</w:t>
            </w:r>
            <w:r>
              <w:rPr>
                <w:rFonts w:hint="eastAsia"/>
                <w:color w:val="000000"/>
                <w:lang w:val="en-US" w:eastAsia="zh-CN"/>
              </w:rPr>
              <w:t>城南街道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bookmarkStart w:id="5" w:name="_GoBack"/>
            <w:r>
              <w:rPr>
                <w:rFonts w:hint="eastAsia"/>
                <w:color w:val="000000"/>
                <w:szCs w:val="18"/>
              </w:rPr>
              <w:t>业主要求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>合同评审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>成立小组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>实施服务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>日常巡查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>服务考核</w:t>
            </w:r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110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8"/>
              <w:gridCol w:w="1150"/>
              <w:gridCol w:w="1449"/>
              <w:gridCol w:w="3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14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363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城南街道项目综合能耗580000kgce；</w:t>
                  </w:r>
                </w:p>
              </w:tc>
              <w:tc>
                <w:tcPr>
                  <w:tcW w:w="11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14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年度综合能耗/总面积.年</w:t>
                  </w:r>
                </w:p>
              </w:tc>
              <w:tc>
                <w:tcPr>
                  <w:tcW w:w="363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实际完成综合能耗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576438.701kgce；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城南街道项目单位面积能耗0.20kgce/㎡.a；</w:t>
                  </w:r>
                </w:p>
              </w:tc>
              <w:tc>
                <w:tcPr>
                  <w:tcW w:w="115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144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年度综合能耗/总面积.年</w:t>
                  </w:r>
                </w:p>
              </w:tc>
              <w:tc>
                <w:tcPr>
                  <w:tcW w:w="363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实际完成单位面积能耗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bCs w:val="0"/>
                      <w:color w:val="0000FF"/>
                      <w:spacing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0.13kgce/㎡.a；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default" w:eastAsia="宋体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电、水、车用柴油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</w:t>
            </w:r>
            <w:r>
              <w:rPr>
                <w:rFonts w:hint="eastAsia"/>
                <w:color w:val="000000"/>
                <w:szCs w:val="18"/>
              </w:rPr>
              <w:t>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值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5974万元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</w:t>
            </w: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未识别主要能源使用，已沟通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FF"/>
                <w:lang w:val="en-US" w:eastAsia="zh-CN"/>
              </w:rPr>
              <w:t>部分法律法规已失效，如企业节能量计算方法、能源管理体系标准描述不正确，未识别企业使用的能源管理体系 行业认证标准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hint="eastAsia"/>
                <w:color w:val="0000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FF"/>
              </w:rPr>
              <w:t>合规性评价报告</w:t>
            </w:r>
            <w:r>
              <w:rPr>
                <w:rFonts w:hint="eastAsia"/>
                <w:color w:val="0000FF"/>
                <w:lang w:val="en-US" w:eastAsia="zh-CN"/>
              </w:rPr>
              <w:t>内容需修改，报告附件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法律法规清单与独立提供的清单内容不一致。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FF"/>
                <w:szCs w:val="22"/>
              </w:rPr>
              <w:t>需完善相关数据和用能结构；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2"/>
                <w:lang w:val="en-US" w:eastAsia="zh-CN"/>
              </w:rPr>
              <w:t>在车辆更新上尽量采购市场较先进的车型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办公区为租赁，由物业统一计量，按照物业通知缴纳水电费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柴油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回用水用于抑尘和马路洒水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车用柴油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城市污水回用水——洒水车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电力清扫车+办公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清扫车、洒水车、抑尘车、运输车——用柴油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无主要用能设备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无淘汰落后设备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电表和新水表由物业管理，洒水车用回用水由市政公司的计量表计量，柴油通过加油站计量。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r>
              <w:rPr>
                <w:rFonts w:hint="eastAsia"/>
              </w:rPr>
              <w:t>- 巡视厂区，查看地理位置图、厂区平面图（适用时）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工业区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商业区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生态保护区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color w:val="0000FF"/>
                <w:lang w:val="en-US" w:eastAsia="zh-CN"/>
              </w:rPr>
              <w:t>经济技术开发区</w:t>
            </w:r>
          </w:p>
          <w:p/>
          <w:p>
            <w:r>
              <w:rPr>
                <w:rFonts w:hint="eastAsia"/>
              </w:rPr>
              <w:t>- 巡视办公区域和生产区域的能源管理情况，是否存在：</w:t>
            </w:r>
          </w:p>
          <w:p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空调温度控制，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长明灯，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长流水；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天然气使用开关关闭；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其他——</w:t>
            </w:r>
          </w:p>
          <w:p/>
          <w:p>
            <w:r>
              <w:rPr>
                <w:rFonts w:hint="eastAsia"/>
              </w:rPr>
              <w:t>- 巡视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区域（</w:t>
            </w:r>
            <w:r>
              <w:rPr>
                <w:rFonts w:hint="eastAsia"/>
                <w:lang w:val="en-US" w:eastAsia="zh-CN"/>
              </w:rPr>
              <w:t>签订合同的路面清扫、收集和运输</w:t>
            </w:r>
            <w:r>
              <w:rPr>
                <w:rFonts w:hint="eastAsia"/>
              </w:rPr>
              <w:t>等），了解能源使用的种类：</w:t>
            </w:r>
          </w:p>
          <w:p>
            <w:r>
              <w:rPr>
                <w:rFonts w:hint="eastAsia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燃料气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热水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燃料油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电能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天然气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压缩空气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蒸汽 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其他—— </w:t>
            </w:r>
            <w:r>
              <w:rPr>
                <w:rFonts w:hint="eastAsia"/>
                <w:color w:val="0000FF"/>
                <w:lang w:val="en-US" w:eastAsia="zh-CN"/>
              </w:rPr>
              <w:t>车用柴油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 巡视动力设施和辅助设施的状况，关注主要用能场所：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锅炉房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加热炉   </w:t>
            </w:r>
            <w:r>
              <w:rPr>
                <w:rFonts w:hint="eastAsia"/>
                <w:lang w:eastAsia="zh-CN"/>
              </w:rPr>
              <w:t>□</w:t>
            </w:r>
            <w:r>
              <w:t>汽轮机</w:t>
            </w:r>
            <w:r>
              <w:rPr>
                <w:rFonts w:hint="eastAsia"/>
              </w:rPr>
              <w:t>、</w:t>
            </w:r>
            <w:r>
              <w:t>空压机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高压配电室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低压配电室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空压站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制冷站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污水处理站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改建/扩建施工现场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食堂 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确认生产/服务流程</w:t>
            </w:r>
          </w:p>
          <w:p>
            <w:pPr>
              <w:ind w:firstLine="420" w:firstLineChars="200"/>
            </w:pP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与提供流程图一致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电动机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工业锅炉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工业炉窑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电器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反应釜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机床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锻压设备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制冷设备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泵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</w:rPr>
              <w:t>- 观察能源相关的监视和测量设备的种类并了解检定/校准情况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无自主计量设备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t>流量计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氧化锆测定仪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压力表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电表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电流表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电压表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315085" cy="1695450"/>
                  <wp:effectExtent l="0" t="0" r="5715" b="6350"/>
                  <wp:docPr id="5" name="图片 5" descr="16619985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199857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310765" cy="1669415"/>
                  <wp:effectExtent l="0" t="0" r="635" b="698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65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296795" cy="1664335"/>
                  <wp:effectExtent l="0" t="0" r="1905" b="1206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03B4027E"/>
    <w:rsid w:val="11DF6155"/>
    <w:rsid w:val="1D4C4038"/>
    <w:rsid w:val="30BD3260"/>
    <w:rsid w:val="31800477"/>
    <w:rsid w:val="3497795D"/>
    <w:rsid w:val="3AC26B7C"/>
    <w:rsid w:val="3BB53325"/>
    <w:rsid w:val="544E0C00"/>
    <w:rsid w:val="78570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4340</Words>
  <Characters>4570</Characters>
  <Lines>92</Lines>
  <Paragraphs>26</Paragraphs>
  <TotalTime>1</TotalTime>
  <ScaleCrop>false</ScaleCrop>
  <LinksUpToDate>false</LinksUpToDate>
  <CharactersWithSpaces>5356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2022-09-06T12:20:10Z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