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岐山振兴现代锻造有限公司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0818-2021-2022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0818-2021-2022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岐山振兴现代锻造有限公司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刘强</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6" w:name="证书编号"/>
            <w:bookmarkEnd w:id="6"/>
            <w:r>
              <w:rPr>
                <w:rFonts w:hint="eastAsia" w:cs="宋体" w:asciiTheme="minorEastAsia" w:hAnsiTheme="minorEastAsia"/>
                <w:kern w:val="0"/>
                <w:szCs w:val="21"/>
                <w:lang w:val="en-US" w:eastAsia="zh-CN"/>
              </w:rPr>
              <w:t>ISC-2021-1098</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7" w:name="证书有效期"/>
            <w:bookmarkEnd w:id="7"/>
            <w:r>
              <w:rPr>
                <w:rFonts w:hint="eastAsia" w:cs="宋体" w:asciiTheme="minorEastAsia" w:hAnsiTheme="minorEastAsia"/>
                <w:kern w:val="0"/>
                <w:szCs w:val="21"/>
                <w:lang w:val="en-US" w:eastAsia="zh-CN"/>
              </w:rPr>
              <w:t>2026.8.30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8" w:name="监督次数"/>
            <w:r>
              <w:rPr>
                <w:rFonts w:hint="eastAsia" w:cs="宋体" w:asciiTheme="minorEastAsia" w:hAnsiTheme="minorEastAsia"/>
                <w:kern w:val="0"/>
                <w:szCs w:val="21"/>
                <w:lang w:val="en-US" w:eastAsia="zh-CN"/>
              </w:rPr>
              <w:t>第</w:t>
            </w:r>
            <w:r>
              <w:rPr>
                <w:rFonts w:cs="宋体" w:asciiTheme="minorEastAsia" w:hAnsiTheme="minorEastAsia"/>
                <w:kern w:val="0"/>
                <w:szCs w:val="21"/>
              </w:rPr>
              <w:t>一</w:t>
            </w:r>
            <w:bookmarkEnd w:id="8"/>
            <w:r>
              <w:rPr>
                <w:rFonts w:hint="eastAsia" w:cs="宋体" w:asciiTheme="minorEastAsia" w:hAnsiTheme="minorEastAsia"/>
                <w:kern w:val="0"/>
                <w:szCs w:val="21"/>
                <w:lang w:val="en-US" w:eastAsia="zh-CN"/>
              </w:rPr>
              <w:t>次监督</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2022年09月07日</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 xml:space="preserve">李俐 </w:t>
            </w:r>
            <w:r>
              <w:rPr>
                <w:rFonts w:ascii="宋体" w:hAnsi="宋体" w:eastAsia="宋体" w:cs="Times New Roman"/>
                <w:szCs w:val="21"/>
              </w:rPr>
              <w:t>2021-M1MMS-2222792</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tabs>
                <w:tab w:val="left" w:pos="840"/>
              </w:tabs>
              <w:spacing w:before="17"/>
              <w:ind w:right="-20"/>
              <w:rPr>
                <w:rFonts w:cs="宋体" w:asciiTheme="minorEastAsia" w:hAnsiTheme="minorEastAsia"/>
                <w:kern w:val="0"/>
                <w:szCs w:val="21"/>
              </w:rPr>
            </w:pPr>
            <w:r>
              <w:rPr>
                <w:rFonts w:hint="eastAsia" w:ascii="宋体" w:hAnsi="宋体" w:eastAsia="宋体" w:cs="宋体"/>
                <w:szCs w:val="21"/>
                <w:lang w:val="en-US" w:eastAsia="zh-CN"/>
              </w:rPr>
              <w:t>供销部、</w:t>
            </w:r>
            <w:r>
              <w:rPr>
                <w:rFonts w:hint="eastAsia" w:ascii="宋体" w:hAnsi="宋体" w:eastAsia="宋体" w:cs="宋体"/>
                <w:szCs w:val="21"/>
              </w:rPr>
              <w:t>综合办</w:t>
            </w:r>
            <w:r>
              <w:rPr>
                <w:rFonts w:hint="eastAsia" w:ascii="宋体" w:hAnsi="宋体" w:eastAsia="宋体" w:cs="宋体"/>
                <w:szCs w:val="21"/>
                <w:lang w:eastAsia="zh-CN"/>
              </w:rPr>
              <w:t>、</w:t>
            </w:r>
            <w:r>
              <w:rPr>
                <w:rFonts w:hint="eastAsia" w:ascii="宋体" w:hAnsi="宋体" w:eastAsia="宋体" w:cs="宋体"/>
                <w:szCs w:val="21"/>
                <w:lang w:val="en-US" w:eastAsia="zh-CN"/>
              </w:rPr>
              <w:t>技术质量部、生产部及生产车间</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1.</w:t>
      </w:r>
      <w:r>
        <w:rPr>
          <w:rFonts w:cs="宋体" w:asciiTheme="minorEastAsia" w:hAnsiTheme="minorEastAsia"/>
          <w:bCs/>
          <w:color w:val="000000" w:themeColor="text1"/>
          <w:kern w:val="0"/>
          <w:szCs w:val="21"/>
        </w:rPr>
        <w:t>一年内违反法律法规</w:t>
      </w:r>
      <w:r>
        <w:rPr>
          <w:rFonts w:hint="eastAsia" w:cs="宋体" w:asciiTheme="minorEastAsia" w:hAnsiTheme="minorEastAsia"/>
          <w:bCs/>
          <w:color w:val="000000" w:themeColor="text1"/>
          <w:kern w:val="0"/>
          <w:szCs w:val="21"/>
        </w:rPr>
        <w:t>或</w:t>
      </w:r>
      <w:r>
        <w:rPr>
          <w:rFonts w:cs="宋体" w:asciiTheme="minorEastAsia" w:hAnsiTheme="minorEastAsia"/>
          <w:bCs/>
          <w:color w:val="000000" w:themeColor="text1"/>
          <w:kern w:val="0"/>
          <w:szCs w:val="21"/>
        </w:rPr>
        <w:t>重大事故的情况：</w:t>
      </w:r>
    </w:p>
    <w:p>
      <w:pPr>
        <w:spacing w:line="360" w:lineRule="auto"/>
        <w:ind w:firstLine="420" w:firstLineChars="200"/>
        <w:rPr>
          <w:color w:val="000000" w:themeColor="text1"/>
          <w:kern w:val="0"/>
        </w:rPr>
      </w:pPr>
      <w:r>
        <w:rPr>
          <w:rFonts w:hint="eastAsia" w:ascii="宋体" w:hAnsi="宋体" w:cs="宋体"/>
          <w:bCs/>
          <w:color w:val="000000" w:themeColor="text1"/>
          <w:kern w:val="0"/>
          <w:szCs w:val="21"/>
        </w:rPr>
        <w:t>20</w:t>
      </w:r>
      <w:r>
        <w:rPr>
          <w:rFonts w:hint="eastAsia" w:ascii="宋体" w:hAnsi="宋体" w:cs="宋体"/>
          <w:bCs/>
          <w:color w:val="000000" w:themeColor="text1"/>
          <w:kern w:val="0"/>
          <w:szCs w:val="21"/>
          <w:lang w:val="en-US" w:eastAsia="zh-CN"/>
        </w:rPr>
        <w:t>21</w:t>
      </w:r>
      <w:r>
        <w:rPr>
          <w:rFonts w:hint="eastAsia" w:ascii="宋体" w:hAnsi="宋体" w:cs="宋体"/>
          <w:bCs/>
          <w:color w:val="000000" w:themeColor="text1"/>
          <w:kern w:val="0"/>
          <w:szCs w:val="21"/>
        </w:rPr>
        <w:t>年</w:t>
      </w:r>
      <w:r>
        <w:rPr>
          <w:rFonts w:hint="eastAsia" w:ascii="宋体" w:hAnsi="宋体" w:cs="宋体"/>
          <w:bCs/>
          <w:color w:val="000000" w:themeColor="text1"/>
          <w:kern w:val="0"/>
          <w:szCs w:val="21"/>
          <w:lang w:val="en-US" w:eastAsia="zh-CN"/>
        </w:rPr>
        <w:t>8</w:t>
      </w:r>
      <w:r>
        <w:rPr>
          <w:rFonts w:hint="eastAsia" w:ascii="宋体" w:hAnsi="宋体" w:cs="宋体"/>
          <w:bCs/>
          <w:color w:val="000000" w:themeColor="text1"/>
          <w:kern w:val="0"/>
          <w:szCs w:val="21"/>
        </w:rPr>
        <w:t>月至今，公司日常运行中生产经营平稳，企业未有违反法律、法规问题和产品质量问题的投诉或重大质量事故发生。企业营业执照等资质未发生变化。</w:t>
      </w:r>
    </w:p>
    <w:p>
      <w:pPr>
        <w:widowControl/>
        <w:spacing w:line="360" w:lineRule="auto"/>
        <w:rPr>
          <w:rFonts w:cs="宋体" w:asciiTheme="minorEastAsia" w:hAnsiTheme="minorEastAsia"/>
          <w:bCs/>
          <w:color w:val="000000" w:themeColor="text1"/>
          <w:kern w:val="0"/>
          <w:szCs w:val="21"/>
        </w:rPr>
      </w:pPr>
      <w:r>
        <w:rPr>
          <w:rFonts w:hint="eastAsia" w:ascii="宋体" w:hAnsi="宋体" w:cs="宋体"/>
          <w:bCs/>
          <w:color w:val="000000" w:themeColor="text1"/>
          <w:kern w:val="0"/>
          <w:szCs w:val="21"/>
        </w:rPr>
        <w:t>2.</w:t>
      </w:r>
      <w:r>
        <w:rPr>
          <w:rFonts w:hint="eastAsia" w:asciiTheme="minorEastAsia" w:hAnsiTheme="minorEastAsia"/>
          <w:bCs/>
          <w:color w:val="000000" w:themeColor="text1"/>
          <w:szCs w:val="21"/>
        </w:rPr>
        <w:t>内部审核和管理评审</w:t>
      </w:r>
      <w:r>
        <w:rPr>
          <w:rFonts w:cs="宋体" w:asciiTheme="minorEastAsia" w:hAnsiTheme="minorEastAsia"/>
          <w:bCs/>
          <w:color w:val="000000" w:themeColor="text1"/>
          <w:kern w:val="0"/>
          <w:szCs w:val="21"/>
        </w:rPr>
        <w:t>的情况：</w:t>
      </w:r>
    </w:p>
    <w:p>
      <w:pPr>
        <w:spacing w:line="360" w:lineRule="auto"/>
        <w:rPr>
          <w:rStyle w:val="9"/>
          <w:rFonts w:ascii="宋体" w:eastAsia="宋体"/>
          <w:color w:val="000000" w:themeColor="text1"/>
          <w:sz w:val="21"/>
          <w:szCs w:val="21"/>
        </w:rPr>
      </w:pPr>
      <w:r>
        <w:rPr>
          <w:rStyle w:val="9"/>
          <w:rFonts w:hint="eastAsia" w:ascii="宋体" w:eastAsia="宋体"/>
          <w:color w:val="000000" w:themeColor="text1"/>
          <w:sz w:val="21"/>
          <w:szCs w:val="21"/>
        </w:rPr>
        <w:t>2.1内审情况：</w:t>
      </w:r>
      <w:r>
        <w:rPr>
          <w:rFonts w:hint="eastAsia" w:ascii="宋体" w:hAnsi="宋体"/>
          <w:bCs/>
          <w:color w:val="000000" w:themeColor="text1"/>
          <w:szCs w:val="21"/>
        </w:rPr>
        <w:t>公司于2022年7月12-13日 ，组织了公司测量管理体系内部审核，管理者代表蔡会敏为审核组长，对公司行政部、生产部、技术质量部、供销部和生产车间进行了审核，共发现了1个不符合项，并在7月20日完成了整改。</w:t>
      </w:r>
    </w:p>
    <w:p>
      <w:pPr>
        <w:widowControl/>
        <w:spacing w:line="360" w:lineRule="auto"/>
        <w:rPr>
          <w:rStyle w:val="9"/>
          <w:rFonts w:ascii="宋体" w:eastAsia="宋体"/>
          <w:color w:val="000000" w:themeColor="text1"/>
          <w:sz w:val="21"/>
          <w:szCs w:val="21"/>
        </w:rPr>
      </w:pPr>
      <w:r>
        <w:rPr>
          <w:rStyle w:val="9"/>
          <w:rFonts w:hint="eastAsia" w:ascii="宋体" w:eastAsia="宋体"/>
          <w:color w:val="000000" w:themeColor="text1"/>
          <w:sz w:val="21"/>
          <w:szCs w:val="21"/>
        </w:rPr>
        <w:t>2.2管理评审情况：企</w:t>
      </w:r>
      <w:r>
        <w:rPr>
          <w:rFonts w:hint="eastAsia"/>
          <w:bCs/>
          <w:color w:val="000000" w:themeColor="text1"/>
          <w:szCs w:val="21"/>
        </w:rPr>
        <w:t>业</w:t>
      </w:r>
      <w:r>
        <w:rPr>
          <w:rFonts w:hint="eastAsia"/>
          <w:color w:val="000000" w:themeColor="text1"/>
          <w:szCs w:val="21"/>
        </w:rPr>
        <w:t>于</w:t>
      </w:r>
      <w:r>
        <w:rPr>
          <w:rFonts w:hint="eastAsia" w:ascii="宋体" w:cs="宋体"/>
          <w:color w:val="000000" w:themeColor="text1"/>
          <w:kern w:val="0"/>
          <w:szCs w:val="21"/>
          <w:lang w:val="en-US" w:eastAsia="zh-CN"/>
        </w:rPr>
        <w:t>公司于</w:t>
      </w:r>
      <w:r>
        <w:rPr>
          <w:rFonts w:hint="eastAsia" w:ascii="宋体" w:hAnsi="宋体" w:eastAsia="宋体" w:cs="宋体"/>
          <w:color w:val="000000" w:themeColor="text1"/>
          <w:szCs w:val="21"/>
          <w:lang w:val="en-US" w:eastAsia="zh-CN"/>
        </w:rPr>
        <w:t>2022年7月25日</w:t>
      </w:r>
      <w:r>
        <w:rPr>
          <w:rFonts w:hint="eastAsia" w:ascii="宋体" w:cs="宋体"/>
          <w:color w:val="000000" w:themeColor="text1"/>
          <w:kern w:val="0"/>
          <w:szCs w:val="21"/>
          <w:lang w:val="en-US" w:eastAsia="zh-CN"/>
        </w:rPr>
        <w:t>进行了测量管理体系管理评审由最高管理者总经理</w:t>
      </w:r>
      <w:r>
        <w:rPr>
          <w:rFonts w:hint="eastAsia" w:ascii="宋体" w:hAnsi="宋体" w:cs="宋体"/>
          <w:color w:val="000000" w:themeColor="text1"/>
          <w:kern w:val="0"/>
          <w:szCs w:val="21"/>
          <w:lang w:val="en-US" w:eastAsia="zh-CN"/>
        </w:rPr>
        <w:t>刘保良</w:t>
      </w:r>
      <w:r>
        <w:rPr>
          <w:rFonts w:hint="eastAsia" w:ascii="宋体" w:cs="宋体"/>
          <w:color w:val="000000" w:themeColor="text1"/>
          <w:kern w:val="0"/>
          <w:szCs w:val="21"/>
          <w:lang w:val="en-US" w:eastAsia="zh-CN"/>
        </w:rPr>
        <w:t>主持各个部门汇报了体系运行一年的情况，管理者代表蔡会敏作了体系运行的总结报告，</w:t>
      </w:r>
      <w:r>
        <w:rPr>
          <w:rFonts w:hint="eastAsia"/>
          <w:color w:val="000000" w:themeColor="text1"/>
          <w:szCs w:val="21"/>
        </w:rPr>
        <w:t>会议肯定</w:t>
      </w:r>
      <w:r>
        <w:rPr>
          <w:color w:val="000000" w:themeColor="text1"/>
          <w:szCs w:val="21"/>
        </w:rPr>
        <w:t>了公司测量管理体系的充分</w:t>
      </w:r>
      <w:r>
        <w:rPr>
          <w:rFonts w:hint="eastAsia"/>
          <w:color w:val="000000" w:themeColor="text1"/>
          <w:szCs w:val="21"/>
        </w:rPr>
        <w:t>性</w:t>
      </w:r>
      <w:r>
        <w:rPr>
          <w:color w:val="000000" w:themeColor="text1"/>
          <w:szCs w:val="21"/>
        </w:rPr>
        <w:t>、有效性和适宜性</w:t>
      </w:r>
      <w:r>
        <w:rPr>
          <w:rFonts w:hint="eastAsia"/>
          <w:color w:val="000000" w:themeColor="text1"/>
          <w:szCs w:val="21"/>
          <w:lang w:eastAsia="zh-CN"/>
        </w:rPr>
        <w:t>，</w:t>
      </w:r>
      <w:r>
        <w:rPr>
          <w:rFonts w:hint="eastAsia"/>
          <w:color w:val="000000" w:themeColor="text1"/>
          <w:szCs w:val="21"/>
        </w:rPr>
        <w:t>对公司测量管理体系目前存在的</w:t>
      </w:r>
      <w:r>
        <w:rPr>
          <w:rFonts w:hint="eastAsia"/>
          <w:color w:val="000000" w:themeColor="text1"/>
          <w:szCs w:val="21"/>
          <w:lang w:val="en-US" w:eastAsia="zh-CN"/>
        </w:rPr>
        <w:t>2</w:t>
      </w:r>
      <w:r>
        <w:rPr>
          <w:rFonts w:hint="eastAsia"/>
          <w:color w:val="000000" w:themeColor="text1"/>
          <w:szCs w:val="21"/>
        </w:rPr>
        <w:t>个方面的问题落实了整改部门</w:t>
      </w:r>
      <w:r>
        <w:rPr>
          <w:rFonts w:hint="eastAsia"/>
          <w:color w:val="000000" w:themeColor="text1"/>
          <w:szCs w:val="21"/>
          <w:lang w:eastAsia="zh-CN"/>
        </w:rPr>
        <w:t>，</w:t>
      </w:r>
      <w:r>
        <w:rPr>
          <w:rFonts w:hint="eastAsia" w:ascii="宋体" w:cs="宋体"/>
          <w:color w:val="000000" w:themeColor="text1"/>
          <w:kern w:val="0"/>
          <w:szCs w:val="21"/>
          <w:lang w:val="en-US" w:eastAsia="zh-CN"/>
        </w:rPr>
        <w:t>并对下一年度测量管理体系的运行做出了安排。</w:t>
      </w: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3.为持续改进而策划的活动的进展企业对识别的关键测量过程进行了持续的控制，</w:t>
      </w:r>
      <w:r>
        <w:rPr>
          <w:rFonts w:hint="eastAsia" w:cs="宋体" w:asciiTheme="minorEastAsia" w:hAnsiTheme="minorEastAsia"/>
          <w:bCs/>
          <w:color w:val="000000" w:themeColor="text1"/>
          <w:kern w:val="0"/>
          <w:szCs w:val="21"/>
          <w:lang w:val="en-US" w:eastAsia="zh-CN"/>
        </w:rPr>
        <w:t>未</w:t>
      </w:r>
      <w:r>
        <w:rPr>
          <w:rFonts w:hint="eastAsia" w:cs="宋体" w:asciiTheme="minorEastAsia" w:hAnsiTheme="minorEastAsia"/>
          <w:bCs/>
          <w:color w:val="000000" w:themeColor="text1"/>
          <w:kern w:val="0"/>
          <w:szCs w:val="21"/>
        </w:rPr>
        <w:t>增关键测量过程：</w:t>
      </w:r>
    </w:p>
    <w:p>
      <w:pPr>
        <w:widowControl/>
        <w:spacing w:line="360" w:lineRule="auto"/>
        <w:jc w:val="left"/>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a)计量要求的导出和验证：查</w:t>
      </w:r>
      <w:r>
        <w:rPr>
          <w:rFonts w:hint="eastAsia" w:ascii="宋体" w:hAnsi="宋体"/>
          <w:color w:val="000000" w:themeColor="text1"/>
          <w:szCs w:val="21"/>
          <w:lang w:eastAsia="zh-CN"/>
        </w:rPr>
        <w:t>12JSD200T-1707030副箱驱动齿轮外径</w:t>
      </w:r>
      <w:r>
        <w:rPr>
          <w:rFonts w:hint="eastAsia" w:ascii="宋体" w:hAnsi="宋体"/>
          <w:color w:val="000000" w:themeColor="text1"/>
          <w:szCs w:val="21"/>
        </w:rPr>
        <w:t>测量过程</w:t>
      </w:r>
      <w:r>
        <w:rPr>
          <w:rFonts w:hint="eastAsia"/>
          <w:color w:val="000000" w:themeColor="text1"/>
        </w:rPr>
        <w:t>，计量要求导出方法正确，验证满足测量过程要求。祥见附件《计量要求导出及验证记录表》</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b)</w:t>
      </w:r>
      <w:r>
        <w:rPr>
          <w:rFonts w:cs="宋体" w:asciiTheme="minorEastAsia" w:hAnsiTheme="minorEastAsia"/>
          <w:color w:val="000000" w:themeColor="text1"/>
          <w:kern w:val="0"/>
          <w:szCs w:val="21"/>
        </w:rPr>
        <w:t>测量不确定评定</w:t>
      </w:r>
      <w:r>
        <w:rPr>
          <w:rFonts w:hint="eastAsia" w:cs="宋体" w:asciiTheme="minorEastAsia" w:hAnsiTheme="minorEastAsia"/>
          <w:color w:val="000000" w:themeColor="text1"/>
          <w:kern w:val="0"/>
          <w:szCs w:val="21"/>
        </w:rPr>
        <w:t>：查</w:t>
      </w:r>
      <w:r>
        <w:rPr>
          <w:rFonts w:hint="eastAsia" w:ascii="宋体" w:hAnsi="宋体"/>
          <w:color w:val="000000" w:themeColor="text1"/>
          <w:szCs w:val="21"/>
          <w:lang w:eastAsia="zh-CN"/>
        </w:rPr>
        <w:t>12JSD200T-1707030副箱驱动齿轮外径</w:t>
      </w:r>
      <w:r>
        <w:rPr>
          <w:rFonts w:hint="eastAsia" w:ascii="宋体" w:hAnsi="宋体"/>
          <w:color w:val="000000" w:themeColor="text1"/>
          <w:szCs w:val="21"/>
        </w:rPr>
        <w:t>测量过程</w:t>
      </w:r>
      <w:r>
        <w:rPr>
          <w:rFonts w:hint="eastAsia"/>
          <w:color w:val="000000" w:themeColor="text1"/>
        </w:rPr>
        <w:t>，测量不确定度评定正确。祥见附件《测量不确定度评定》</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c)有效性确认：查</w:t>
      </w:r>
      <w:r>
        <w:rPr>
          <w:rFonts w:hint="eastAsia" w:ascii="宋体" w:hAnsi="宋体"/>
          <w:color w:val="000000" w:themeColor="text1"/>
          <w:szCs w:val="21"/>
          <w:lang w:eastAsia="zh-CN"/>
        </w:rPr>
        <w:t>12JSD200T-1707030副箱驱动齿轮外径</w:t>
      </w:r>
      <w:r>
        <w:rPr>
          <w:rFonts w:hint="eastAsia" w:ascii="宋体" w:hAnsi="宋体"/>
          <w:color w:val="000000" w:themeColor="text1"/>
          <w:szCs w:val="21"/>
        </w:rPr>
        <w:t>测量过程</w:t>
      </w:r>
      <w:r>
        <w:rPr>
          <w:rFonts w:hint="eastAsia"/>
          <w:color w:val="000000" w:themeColor="text1"/>
        </w:rPr>
        <w:t>，采用计量进行比对进行有效性确认，满足要求。祥见附件《测量过程有效性确认》</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d)</w:t>
      </w:r>
      <w:r>
        <w:rPr>
          <w:rFonts w:cs="宋体" w:asciiTheme="minorEastAsia" w:hAnsiTheme="minorEastAsia"/>
          <w:color w:val="000000" w:themeColor="text1"/>
          <w:kern w:val="0"/>
          <w:szCs w:val="21"/>
        </w:rPr>
        <w:t>测量过程的控制</w:t>
      </w:r>
      <w:r>
        <w:rPr>
          <w:rFonts w:hint="eastAsia" w:cs="宋体" w:asciiTheme="minorEastAsia" w:hAnsiTheme="minorEastAsia"/>
          <w:color w:val="000000" w:themeColor="text1"/>
          <w:kern w:val="0"/>
          <w:szCs w:val="21"/>
        </w:rPr>
        <w:t>：查</w:t>
      </w:r>
      <w:r>
        <w:rPr>
          <w:rFonts w:hint="eastAsia" w:ascii="宋体" w:hAnsi="宋体"/>
          <w:color w:val="000000" w:themeColor="text1"/>
          <w:szCs w:val="21"/>
          <w:lang w:eastAsia="zh-CN"/>
        </w:rPr>
        <w:t>12JSD200T-1707030副箱驱动齿轮外径</w:t>
      </w:r>
      <w:r>
        <w:rPr>
          <w:rFonts w:hint="eastAsia" w:ascii="宋体" w:hAnsi="宋体"/>
          <w:color w:val="000000" w:themeColor="text1"/>
          <w:szCs w:val="21"/>
        </w:rPr>
        <w:t>测量过程</w:t>
      </w:r>
      <w:r>
        <w:rPr>
          <w:rFonts w:hint="eastAsia"/>
          <w:color w:val="000000" w:themeColor="text1"/>
        </w:rPr>
        <w:t>，编制了控制规范，对测量人员、测量设备、测量环境进行控制，满足要求。</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e)</w:t>
      </w:r>
      <w:r>
        <w:rPr>
          <w:rFonts w:cs="宋体" w:asciiTheme="minorEastAsia" w:hAnsiTheme="minorEastAsia"/>
          <w:color w:val="000000" w:themeColor="text1"/>
          <w:kern w:val="0"/>
          <w:szCs w:val="21"/>
        </w:rPr>
        <w:t>测量过程的监视</w:t>
      </w:r>
      <w:r>
        <w:rPr>
          <w:rFonts w:hint="eastAsia" w:cs="宋体" w:asciiTheme="minorEastAsia" w:hAnsiTheme="minorEastAsia"/>
          <w:color w:val="000000" w:themeColor="text1"/>
          <w:kern w:val="0"/>
          <w:szCs w:val="21"/>
        </w:rPr>
        <w:t>：查</w:t>
      </w:r>
      <w:r>
        <w:rPr>
          <w:rFonts w:hint="eastAsia" w:ascii="宋体" w:hAnsi="宋体"/>
          <w:color w:val="000000" w:themeColor="text1"/>
          <w:szCs w:val="21"/>
          <w:lang w:eastAsia="zh-CN"/>
        </w:rPr>
        <w:t>12JSD200T-1707030副箱驱动齿轮外径</w:t>
      </w:r>
      <w:r>
        <w:rPr>
          <w:rFonts w:hint="eastAsia" w:ascii="宋体" w:hAnsi="宋体"/>
          <w:color w:val="000000" w:themeColor="text1"/>
          <w:szCs w:val="21"/>
        </w:rPr>
        <w:t>测量过程</w:t>
      </w:r>
      <w:r>
        <w:rPr>
          <w:rFonts w:hint="eastAsia"/>
          <w:color w:val="000000" w:themeColor="text1"/>
        </w:rPr>
        <w:t>，</w:t>
      </w:r>
      <w:r>
        <w:rPr>
          <w:rFonts w:hint="eastAsia" w:cs="宋体" w:asciiTheme="minorEastAsia" w:hAnsiTheme="minorEastAsia"/>
          <w:color w:val="000000" w:themeColor="text1"/>
          <w:kern w:val="0"/>
          <w:szCs w:val="21"/>
        </w:rPr>
        <w:t>采用统计技术进行控制和监视测量过程。祥见《测量过程监视记录》</w:t>
      </w:r>
    </w:p>
    <w:p>
      <w:pPr>
        <w:widowControl/>
        <w:spacing w:line="360" w:lineRule="auto"/>
        <w:rPr>
          <w:color w:val="000000" w:themeColor="text1"/>
          <w:szCs w:val="21"/>
        </w:rPr>
      </w:pPr>
      <w:r>
        <w:rPr>
          <w:rFonts w:hint="eastAsia" w:cs="宋体" w:asciiTheme="minorEastAsia" w:hAnsiTheme="minorEastAsia"/>
          <w:color w:val="000000" w:themeColor="text1"/>
          <w:kern w:val="0"/>
          <w:szCs w:val="21"/>
        </w:rPr>
        <w:t>f)测量设备的溯源：</w:t>
      </w:r>
      <w:r>
        <w:rPr>
          <w:rFonts w:hint="eastAsia"/>
          <w:color w:val="000000" w:themeColor="text1"/>
          <w:szCs w:val="21"/>
          <w:lang w:val="en-US" w:eastAsia="zh-CN"/>
        </w:rPr>
        <w:t>该</w:t>
      </w:r>
      <w:r>
        <w:rPr>
          <w:rFonts w:hint="eastAsia"/>
          <w:color w:val="000000" w:themeColor="text1"/>
          <w:szCs w:val="21"/>
        </w:rPr>
        <w:t>公司</w:t>
      </w:r>
      <w:r>
        <w:rPr>
          <w:rFonts w:hint="eastAsia"/>
          <w:color w:val="000000" w:themeColor="text1"/>
          <w:szCs w:val="21"/>
          <w:lang w:val="en-US" w:eastAsia="zh-CN"/>
        </w:rPr>
        <w:t>未</w:t>
      </w:r>
      <w:r>
        <w:rPr>
          <w:rFonts w:hint="eastAsia"/>
          <w:color w:val="000000" w:themeColor="text1"/>
          <w:szCs w:val="21"/>
        </w:rPr>
        <w:t>建立</w:t>
      </w:r>
      <w:r>
        <w:rPr>
          <w:rFonts w:hint="eastAsia"/>
          <w:color w:val="000000" w:themeColor="text1"/>
          <w:szCs w:val="21"/>
          <w:lang w:val="en-US" w:eastAsia="zh-CN"/>
        </w:rPr>
        <w:t>计量</w:t>
      </w:r>
      <w:r>
        <w:rPr>
          <w:rFonts w:hint="eastAsia"/>
          <w:color w:val="000000" w:themeColor="text1"/>
          <w:szCs w:val="21"/>
        </w:rPr>
        <w:t>标准，测量设备</w:t>
      </w:r>
      <w:r>
        <w:rPr>
          <w:rFonts w:hint="eastAsia"/>
          <w:color w:val="000000" w:themeColor="text1"/>
          <w:szCs w:val="21"/>
          <w:lang w:val="en-US" w:eastAsia="zh-CN"/>
        </w:rPr>
        <w:t>均</w:t>
      </w:r>
      <w:r>
        <w:rPr>
          <w:rFonts w:hint="eastAsia"/>
          <w:color w:val="000000" w:themeColor="text1"/>
          <w:szCs w:val="21"/>
        </w:rPr>
        <w:t>送至</w:t>
      </w:r>
      <w:r>
        <w:rPr>
          <w:rFonts w:hint="eastAsia" w:ascii="宋体" w:hAnsi="宋体"/>
          <w:color w:val="000000" w:themeColor="text1"/>
          <w:szCs w:val="21"/>
        </w:rPr>
        <w:t>中国航发南方工业有限公司计量实验室</w:t>
      </w:r>
      <w:r>
        <w:rPr>
          <w:rFonts w:hint="eastAsia"/>
          <w:color w:val="000000" w:themeColor="text1"/>
          <w:szCs w:val="21"/>
          <w:lang w:val="en-US" w:eastAsia="zh-CN"/>
        </w:rPr>
        <w:t>进行校准</w:t>
      </w:r>
      <w:r>
        <w:rPr>
          <w:rFonts w:hint="eastAsia"/>
          <w:color w:val="000000" w:themeColor="text1"/>
          <w:szCs w:val="21"/>
        </w:rPr>
        <w:t>，抽查</w:t>
      </w:r>
      <w:r>
        <w:rPr>
          <w:rFonts w:hint="eastAsia"/>
          <w:color w:val="000000" w:themeColor="text1"/>
          <w:szCs w:val="21"/>
          <w:lang w:val="en-US" w:eastAsia="zh-CN"/>
        </w:rPr>
        <w:t>8</w:t>
      </w:r>
      <w:r>
        <w:rPr>
          <w:rFonts w:hint="eastAsia"/>
          <w:color w:val="000000" w:themeColor="text1"/>
          <w:szCs w:val="21"/>
        </w:rPr>
        <w:t>台件测量设备，符合量值溯源性管理的要求。祥见《测量设备溯源检查表》</w:t>
      </w:r>
    </w:p>
    <w:p>
      <w:pPr>
        <w:widowControl/>
        <w:spacing w:line="360" w:lineRule="auto"/>
        <w:rPr>
          <w:color w:val="000000" w:themeColor="text1"/>
          <w:szCs w:val="21"/>
        </w:rPr>
      </w:pPr>
      <w:r>
        <w:rPr>
          <w:rFonts w:hint="eastAsia"/>
          <w:color w:val="000000" w:themeColor="text1"/>
          <w:szCs w:val="21"/>
        </w:rPr>
        <w:t>4.能源管理情况：</w:t>
      </w:r>
    </w:p>
    <w:p>
      <w:pPr>
        <w:spacing w:line="360" w:lineRule="auto"/>
        <w:ind w:firstLine="420" w:firstLineChars="200"/>
        <w:jc w:val="lef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企业2021年全年能耗78吨标煤，</w:t>
      </w:r>
      <w:r>
        <w:rPr>
          <w:rFonts w:hint="eastAsia" w:ascii="宋体" w:hAnsi="宋体"/>
          <w:color w:val="000000" w:themeColor="text1"/>
          <w:szCs w:val="21"/>
        </w:rPr>
        <w:t>配备了</w:t>
      </w:r>
      <w:r>
        <w:rPr>
          <w:rFonts w:hint="eastAsia" w:ascii="宋体" w:hAnsi="宋体"/>
          <w:color w:val="000000" w:themeColor="text1"/>
          <w:szCs w:val="21"/>
          <w:lang w:val="en-US" w:eastAsia="zh-CN"/>
        </w:rPr>
        <w:t>2</w:t>
      </w:r>
      <w:r>
        <w:rPr>
          <w:rFonts w:hint="eastAsia" w:ascii="宋体" w:hAnsi="宋体"/>
          <w:color w:val="000000" w:themeColor="text1"/>
          <w:szCs w:val="21"/>
        </w:rPr>
        <w:t>台电能表精度等级0.5</w:t>
      </w:r>
      <w:r>
        <w:rPr>
          <w:rFonts w:hint="eastAsia" w:ascii="宋体" w:hAnsi="宋体"/>
          <w:color w:val="000000" w:themeColor="text1"/>
          <w:szCs w:val="21"/>
          <w:lang w:eastAsia="zh-CN"/>
        </w:rPr>
        <w:t>、</w:t>
      </w:r>
      <w:r>
        <w:rPr>
          <w:rFonts w:hint="eastAsia" w:ascii="宋体" w:hAnsi="宋体"/>
          <w:color w:val="000000" w:themeColor="text1"/>
          <w:szCs w:val="21"/>
        </w:rPr>
        <w:t>1.0级</w:t>
      </w:r>
      <w:r>
        <w:rPr>
          <w:rFonts w:hint="eastAsia" w:ascii="宋体" w:hAnsi="宋体"/>
          <w:color w:val="000000" w:themeColor="text1"/>
          <w:szCs w:val="21"/>
          <w:lang w:eastAsia="zh-CN"/>
        </w:rPr>
        <w:t>，</w:t>
      </w:r>
      <w:r>
        <w:rPr>
          <w:rFonts w:hint="eastAsia" w:ascii="宋体" w:hAnsi="宋体"/>
          <w:color w:val="000000" w:themeColor="text1"/>
          <w:szCs w:val="21"/>
        </w:rPr>
        <w:t xml:space="preserve"> </w:t>
      </w:r>
      <w:r>
        <w:rPr>
          <w:rFonts w:hint="eastAsia" w:ascii="宋体" w:hAnsi="宋体" w:eastAsia="宋体"/>
          <w:bCs/>
          <w:color w:val="000000" w:themeColor="text1"/>
          <w:szCs w:val="21"/>
        </w:rPr>
        <w:t>能源计量</w:t>
      </w:r>
      <w:r>
        <w:rPr>
          <w:rFonts w:hint="eastAsia" w:ascii="宋体" w:hAnsi="宋体"/>
          <w:color w:val="000000" w:themeColor="text1"/>
          <w:szCs w:val="21"/>
          <w:lang w:val="en-US" w:eastAsia="zh-CN"/>
        </w:rPr>
        <w:t>管理满足GB17167要求。</w:t>
      </w:r>
    </w:p>
    <w:p>
      <w:pPr>
        <w:widowControl/>
        <w:spacing w:line="360" w:lineRule="auto"/>
        <w:rPr>
          <w:rFonts w:cs="宋体" w:asciiTheme="minorEastAsia" w:hAnsiTheme="minorEastAsia"/>
          <w:color w:val="000000" w:themeColor="text1"/>
          <w:kern w:val="0"/>
          <w:szCs w:val="21"/>
        </w:rPr>
      </w:pPr>
      <w:r>
        <w:rPr>
          <w:rFonts w:hint="eastAsia" w:asciiTheme="minorEastAsia" w:hAnsiTheme="minorEastAsia"/>
          <w:bCs/>
          <w:color w:val="000000" w:themeColor="text1"/>
          <w:szCs w:val="21"/>
        </w:rPr>
        <w:t>5.对认证审核时提出的的不符合项的纠正措施情况有表述</w:t>
      </w:r>
      <w:r>
        <w:rPr>
          <w:rFonts w:cs="宋体" w:asciiTheme="minorEastAsia" w:hAnsiTheme="minorEastAsia"/>
          <w:bCs/>
          <w:color w:val="000000" w:themeColor="text1"/>
          <w:kern w:val="0"/>
          <w:szCs w:val="21"/>
        </w:rPr>
        <w:t>：</w:t>
      </w:r>
      <w:r>
        <w:rPr>
          <w:rFonts w:cs="宋体" w:asciiTheme="minorEastAsia" w:hAnsiTheme="minorEastAsia"/>
          <w:color w:val="000000" w:themeColor="text1"/>
          <w:kern w:val="0"/>
          <w:szCs w:val="21"/>
        </w:rPr>
        <w:t> </w:t>
      </w:r>
    </w:p>
    <w:p>
      <w:pPr>
        <w:widowControl/>
        <w:spacing w:line="360" w:lineRule="auto"/>
        <w:ind w:firstLine="420" w:firstLineChars="200"/>
        <w:rPr>
          <w:rFonts w:cs="宋体" w:asciiTheme="minorEastAsia" w:hAnsiTheme="minorEastAsia"/>
          <w:color w:val="000000" w:themeColor="text1"/>
          <w:kern w:val="0"/>
          <w:szCs w:val="21"/>
        </w:rPr>
      </w:pPr>
      <w:r>
        <w:rPr>
          <w:rFonts w:hint="eastAsia" w:ascii="宋体" w:hAnsi="宋体" w:cs="宋体"/>
          <w:color w:val="000000" w:themeColor="text1"/>
          <w:kern w:val="0"/>
          <w:szCs w:val="21"/>
        </w:rPr>
        <w:t>20</w:t>
      </w:r>
      <w:r>
        <w:rPr>
          <w:rFonts w:hint="eastAsia" w:ascii="宋体" w:hAnsi="宋体" w:cs="宋体"/>
          <w:color w:val="000000" w:themeColor="text1"/>
          <w:kern w:val="0"/>
          <w:szCs w:val="21"/>
          <w:lang w:val="en-US" w:eastAsia="zh-CN"/>
        </w:rPr>
        <w:t>21</w:t>
      </w:r>
      <w:r>
        <w:rPr>
          <w:rFonts w:hint="eastAsia" w:ascii="宋体" w:hAnsi="宋体" w:cs="宋体"/>
          <w:color w:val="000000" w:themeColor="text1"/>
          <w:kern w:val="0"/>
          <w:szCs w:val="21"/>
        </w:rPr>
        <w:t>年审核</w:t>
      </w:r>
      <w:r>
        <w:rPr>
          <w:rFonts w:hint="eastAsia" w:ascii="宋体" w:hAnsi="宋体" w:cs="宋体"/>
          <w:color w:val="000000" w:themeColor="text1"/>
          <w:kern w:val="0"/>
          <w:szCs w:val="21"/>
          <w:lang w:val="en-US" w:eastAsia="zh-CN"/>
        </w:rPr>
        <w:t>时</w:t>
      </w:r>
      <w:r>
        <w:rPr>
          <w:rFonts w:hint="eastAsia" w:ascii="宋体" w:hAnsi="宋体" w:cs="宋体"/>
          <w:color w:val="000000" w:themeColor="text1"/>
          <w:kern w:val="0"/>
          <w:szCs w:val="21"/>
        </w:rPr>
        <w:t>开出</w:t>
      </w:r>
      <w:r>
        <w:rPr>
          <w:rFonts w:hint="eastAsia" w:ascii="宋体" w:hAnsi="宋体" w:cs="宋体"/>
          <w:color w:val="000000" w:themeColor="text1"/>
          <w:kern w:val="0"/>
          <w:szCs w:val="21"/>
          <w:lang w:val="en-US" w:eastAsia="zh-CN"/>
        </w:rPr>
        <w:t>一个次要</w:t>
      </w:r>
      <w:r>
        <w:rPr>
          <w:rFonts w:hint="eastAsia" w:ascii="宋体" w:hAnsi="宋体" w:cs="宋体"/>
          <w:color w:val="000000" w:themeColor="text1"/>
          <w:kern w:val="0"/>
          <w:szCs w:val="21"/>
        </w:rPr>
        <w:t>不符合项，</w:t>
      </w:r>
      <w:r>
        <w:rPr>
          <w:rFonts w:hint="eastAsia" w:ascii="宋体" w:hAnsi="宋体" w:cs="宋体"/>
          <w:color w:val="000000" w:themeColor="text1"/>
          <w:kern w:val="0"/>
          <w:szCs w:val="21"/>
          <w:lang w:eastAsia="zh-CN"/>
        </w:rPr>
        <w:t>“</w:t>
      </w:r>
      <w:r>
        <w:rPr>
          <w:rFonts w:hint="eastAsia" w:ascii="宋体" w:hAnsi="宋体"/>
          <w:color w:val="000000" w:themeColor="text1"/>
          <w:szCs w:val="21"/>
          <w:lang w:val="en-US" w:eastAsia="zh-CN"/>
        </w:rPr>
        <w:t>检查时发现技术质量部使用的编号为9062439型号为</w:t>
      </w:r>
      <w:r>
        <w:rPr>
          <w:rFonts w:hint="default" w:ascii="Calibri" w:hAnsi="Calibri" w:cs="Calibri"/>
          <w:color w:val="000000" w:themeColor="text1"/>
          <w:szCs w:val="21"/>
          <w:lang w:val="en-US" w:eastAsia="zh-CN"/>
        </w:rPr>
        <w:t>(</w:t>
      </w:r>
      <w:r>
        <w:rPr>
          <w:rFonts w:hint="eastAsia" w:ascii="Calibri" w:hAnsi="Calibri" w:cs="Calibri"/>
          <w:color w:val="000000" w:themeColor="text1"/>
          <w:szCs w:val="21"/>
          <w:lang w:val="en-US" w:eastAsia="zh-CN"/>
        </w:rPr>
        <w:t>35-50</w:t>
      </w:r>
      <w:r>
        <w:rPr>
          <w:rFonts w:hint="default" w:ascii="Calibri" w:hAnsi="Calibri" w:cs="Calibri"/>
          <w:color w:val="000000" w:themeColor="text1"/>
          <w:szCs w:val="21"/>
          <w:lang w:val="en-US" w:eastAsia="zh-CN"/>
        </w:rPr>
        <w:t>)</w:t>
      </w:r>
      <w:r>
        <w:rPr>
          <w:rFonts w:hint="eastAsia" w:ascii="宋体" w:hAnsi="宋体" w:eastAsia="宋体" w:cs="宋体"/>
          <w:color w:val="000000" w:themeColor="text1"/>
          <w:szCs w:val="21"/>
          <w:lang w:val="en-US" w:eastAsia="zh-CN"/>
        </w:rPr>
        <w:t>㎜</w:t>
      </w:r>
      <w:r>
        <w:rPr>
          <w:rFonts w:hint="eastAsia" w:ascii="Calibri" w:hAnsi="Calibri" w:cs="Calibri"/>
          <w:color w:val="000000" w:themeColor="text1"/>
          <w:szCs w:val="21"/>
          <w:lang w:val="en-US" w:eastAsia="zh-CN"/>
        </w:rPr>
        <w:t>的内径百分比使用的是校准证书，未做确认。</w:t>
      </w:r>
      <w:r>
        <w:rPr>
          <w:rFonts w:hint="eastAsia" w:ascii="宋体" w:hAnsi="宋体" w:cs="宋体"/>
          <w:color w:val="000000" w:themeColor="text1"/>
          <w:kern w:val="0"/>
          <w:szCs w:val="21"/>
          <w:lang w:eastAsia="zh-CN"/>
        </w:rPr>
        <w:t>”</w:t>
      </w:r>
      <w:r>
        <w:rPr>
          <w:rFonts w:hint="eastAsia" w:ascii="宋体" w:hAnsi="宋体" w:cs="宋体"/>
          <w:bCs/>
          <w:color w:val="000000" w:themeColor="text1"/>
          <w:kern w:val="0"/>
          <w:szCs w:val="21"/>
        </w:rPr>
        <w:t>企业对不符合组织了纠正，1.</w:t>
      </w:r>
      <w:r>
        <w:rPr>
          <w:rFonts w:hint="eastAsia" w:ascii="宋体" w:hAnsi="宋体" w:cs="宋体"/>
          <w:bCs/>
          <w:color w:val="000000" w:themeColor="text1"/>
          <w:kern w:val="0"/>
          <w:szCs w:val="21"/>
          <w:lang w:val="en-US" w:eastAsia="zh-CN"/>
        </w:rPr>
        <w:t>建立了监视制定完善了计量确认记录</w:t>
      </w:r>
      <w:r>
        <w:rPr>
          <w:rFonts w:hint="eastAsia" w:ascii="宋体" w:hAnsi="宋体" w:cs="宋体"/>
          <w:bCs/>
          <w:color w:val="000000" w:themeColor="text1"/>
          <w:kern w:val="0"/>
          <w:szCs w:val="21"/>
        </w:rPr>
        <w:t>；2.</w:t>
      </w:r>
      <w:r>
        <w:rPr>
          <w:rFonts w:hint="eastAsia" w:ascii="宋体" w:hAnsi="宋体" w:cs="宋体"/>
          <w:bCs/>
          <w:color w:val="000000" w:themeColor="text1"/>
          <w:kern w:val="0"/>
          <w:szCs w:val="21"/>
          <w:lang w:val="en-US" w:eastAsia="zh-CN"/>
        </w:rPr>
        <w:t>对相关人员进行培训</w:t>
      </w:r>
      <w:r>
        <w:rPr>
          <w:rFonts w:hint="eastAsia" w:ascii="宋体" w:hAnsi="宋体" w:cs="宋体"/>
          <w:bCs/>
          <w:color w:val="000000" w:themeColor="text1"/>
          <w:kern w:val="0"/>
          <w:szCs w:val="21"/>
        </w:rPr>
        <w:t>避免相同问题重复发生。验证该不符合项纠正措施有效，同意关闭。</w:t>
      </w:r>
    </w:p>
    <w:p>
      <w:pPr>
        <w:widowControl/>
        <w:numPr>
          <w:ilvl w:val="0"/>
          <w:numId w:val="0"/>
        </w:numPr>
        <w:spacing w:line="360" w:lineRule="auto"/>
        <w:rPr>
          <w:rFonts w:cs="宋体" w:asciiTheme="minorEastAsia" w:hAnsiTheme="minorEastAsia"/>
          <w:bCs/>
          <w:color w:val="000000" w:themeColor="text1"/>
          <w:kern w:val="0"/>
          <w:szCs w:val="21"/>
        </w:rPr>
      </w:pPr>
      <w:r>
        <w:rPr>
          <w:rFonts w:hint="eastAsia" w:ascii="宋体" w:hAnsi="宋体" w:cs="宋体"/>
          <w:color w:val="000000" w:themeColor="text1"/>
          <w:kern w:val="0"/>
          <w:szCs w:val="21"/>
          <w:lang w:val="en-US" w:eastAsia="zh-CN"/>
        </w:rPr>
        <w:t>6.</w:t>
      </w:r>
      <w:r>
        <w:rPr>
          <w:rFonts w:hint="eastAsia" w:cs="宋体" w:asciiTheme="minorEastAsia" w:hAnsiTheme="minorEastAsia"/>
          <w:color w:val="000000" w:themeColor="text1"/>
          <w:kern w:val="0"/>
          <w:szCs w:val="21"/>
        </w:rPr>
        <w:t>对</w:t>
      </w:r>
      <w:r>
        <w:rPr>
          <w:rFonts w:hint="eastAsia" w:asciiTheme="minorEastAsia" w:hAnsiTheme="minorEastAsia"/>
          <w:bCs/>
          <w:color w:val="000000" w:themeColor="text1"/>
          <w:szCs w:val="21"/>
        </w:rPr>
        <w:t>投诉的处理</w:t>
      </w:r>
      <w:r>
        <w:rPr>
          <w:rFonts w:cs="宋体" w:asciiTheme="minorEastAsia" w:hAnsiTheme="minorEastAsia"/>
          <w:bCs/>
          <w:color w:val="000000" w:themeColor="text1"/>
          <w:kern w:val="0"/>
          <w:szCs w:val="21"/>
        </w:rPr>
        <w:t>情况：</w:t>
      </w:r>
    </w:p>
    <w:p>
      <w:pPr>
        <w:widowControl/>
        <w:spacing w:line="360" w:lineRule="auto"/>
        <w:ind w:firstLine="420" w:firstLineChars="200"/>
        <w:rPr>
          <w:rFonts w:ascii="宋体" w:hAnsi="宋体" w:cs="宋体"/>
          <w:bCs/>
          <w:color w:val="000000" w:themeColor="text1"/>
          <w:kern w:val="0"/>
          <w:szCs w:val="21"/>
        </w:rPr>
      </w:pPr>
      <w:r>
        <w:rPr>
          <w:rFonts w:hint="eastAsia" w:cs="宋体" w:asciiTheme="minorEastAsia" w:hAnsiTheme="minorEastAsia"/>
          <w:bCs/>
          <w:color w:val="000000" w:themeColor="text1"/>
          <w:kern w:val="0"/>
          <w:szCs w:val="21"/>
        </w:rPr>
        <w:t>企业202</w:t>
      </w:r>
      <w:r>
        <w:rPr>
          <w:rFonts w:hint="eastAsia" w:cs="宋体" w:asciiTheme="minorEastAsia" w:hAnsiTheme="minorEastAsia"/>
          <w:bCs/>
          <w:color w:val="000000" w:themeColor="text1"/>
          <w:kern w:val="0"/>
          <w:szCs w:val="21"/>
          <w:lang w:val="en-US" w:eastAsia="zh-CN"/>
        </w:rPr>
        <w:t>1</w:t>
      </w:r>
      <w:r>
        <w:rPr>
          <w:rFonts w:hint="eastAsia" w:cs="宋体" w:asciiTheme="minorEastAsia" w:hAnsiTheme="minorEastAsia"/>
          <w:bCs/>
          <w:color w:val="000000" w:themeColor="text1"/>
          <w:kern w:val="0"/>
          <w:szCs w:val="21"/>
        </w:rPr>
        <w:t>年有未有顾客的投诉。</w:t>
      </w:r>
      <w:r>
        <w:rPr>
          <w:rFonts w:hint="eastAsia"/>
          <w:bCs/>
          <w:color w:val="000000" w:themeColor="text1"/>
          <w:szCs w:val="21"/>
        </w:rPr>
        <w:t>企业未有</w:t>
      </w:r>
      <w:r>
        <w:rPr>
          <w:rFonts w:ascii="宋体" w:hAnsi="宋体" w:cs="宋体"/>
          <w:bCs/>
          <w:color w:val="000000" w:themeColor="text1"/>
          <w:kern w:val="0"/>
          <w:szCs w:val="21"/>
        </w:rPr>
        <w:t>违反法律</w:t>
      </w:r>
      <w:r>
        <w:rPr>
          <w:rFonts w:hint="eastAsia" w:ascii="宋体" w:hAnsi="宋体" w:cs="宋体"/>
          <w:bCs/>
          <w:color w:val="000000" w:themeColor="text1"/>
          <w:kern w:val="0"/>
          <w:szCs w:val="21"/>
        </w:rPr>
        <w:t>、</w:t>
      </w:r>
      <w:r>
        <w:rPr>
          <w:rFonts w:ascii="宋体" w:hAnsi="宋体" w:cs="宋体"/>
          <w:bCs/>
          <w:color w:val="000000" w:themeColor="text1"/>
          <w:kern w:val="0"/>
          <w:szCs w:val="21"/>
        </w:rPr>
        <w:t>法规</w:t>
      </w:r>
      <w:r>
        <w:rPr>
          <w:rFonts w:hint="eastAsia" w:ascii="宋体" w:hAnsi="宋体" w:cs="宋体"/>
          <w:bCs/>
          <w:color w:val="000000" w:themeColor="text1"/>
          <w:kern w:val="0"/>
          <w:szCs w:val="21"/>
        </w:rPr>
        <w:t>问题和产品质量问题的投诉或</w:t>
      </w:r>
      <w:r>
        <w:rPr>
          <w:rFonts w:ascii="宋体" w:hAnsi="宋体" w:cs="宋体"/>
          <w:bCs/>
          <w:color w:val="000000" w:themeColor="text1"/>
          <w:kern w:val="0"/>
          <w:szCs w:val="21"/>
        </w:rPr>
        <w:t>重大</w:t>
      </w:r>
      <w:r>
        <w:rPr>
          <w:rFonts w:hint="eastAsia" w:ascii="宋体" w:hAnsi="宋体" w:cs="宋体"/>
          <w:bCs/>
          <w:color w:val="000000" w:themeColor="text1"/>
          <w:kern w:val="0"/>
          <w:szCs w:val="21"/>
        </w:rPr>
        <w:t>质量</w:t>
      </w:r>
      <w:r>
        <w:rPr>
          <w:rFonts w:ascii="宋体" w:hAnsi="宋体" w:cs="宋体"/>
          <w:bCs/>
          <w:color w:val="000000" w:themeColor="text1"/>
          <w:kern w:val="0"/>
          <w:szCs w:val="21"/>
        </w:rPr>
        <w:t>事故</w:t>
      </w:r>
      <w:r>
        <w:rPr>
          <w:rFonts w:hint="eastAsia" w:ascii="宋体" w:hAnsi="宋体" w:cs="宋体"/>
          <w:bCs/>
          <w:color w:val="000000" w:themeColor="text1"/>
          <w:kern w:val="0"/>
          <w:szCs w:val="21"/>
        </w:rPr>
        <w:t>发生。</w:t>
      </w:r>
    </w:p>
    <w:p>
      <w:pPr>
        <w:widowControl/>
        <w:numPr>
          <w:ilvl w:val="0"/>
          <w:numId w:val="1"/>
        </w:numPr>
        <w:spacing w:line="360"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rPr>
        <w:t>测量管理体系在实现获证客户目标方面的有效性及持续的运作控制</w:t>
      </w:r>
      <w:r>
        <w:rPr>
          <w:rFonts w:cs="宋体" w:asciiTheme="minorEastAsia" w:hAnsiTheme="minorEastAsia"/>
          <w:bCs/>
          <w:color w:val="000000" w:themeColor="text1"/>
          <w:kern w:val="0"/>
          <w:szCs w:val="21"/>
        </w:rPr>
        <w:t>情况：</w:t>
      </w:r>
    </w:p>
    <w:p>
      <w:pPr>
        <w:widowControl/>
        <w:spacing w:line="360" w:lineRule="auto"/>
        <w:rPr>
          <w:rFonts w:cs="宋体" w:asciiTheme="minorEastAsia" w:hAnsiTheme="minorEastAsia"/>
          <w:bCs/>
          <w:color w:val="000000" w:themeColor="text1"/>
          <w:kern w:val="0"/>
          <w:szCs w:val="21"/>
        </w:rPr>
      </w:pPr>
      <w:r>
        <w:rPr>
          <w:rFonts w:hint="eastAsia" w:ascii="宋体" w:hAnsi="宋体" w:eastAsia="宋体"/>
          <w:bCs/>
          <w:color w:val="000000" w:themeColor="text1"/>
          <w:szCs w:val="21"/>
        </w:rPr>
        <w:t>公司制定了</w:t>
      </w:r>
      <w:r>
        <w:rPr>
          <w:rFonts w:hint="eastAsia" w:ascii="宋体" w:hAnsi="宋体" w:eastAsia="宋体"/>
          <w:bCs/>
          <w:color w:val="000000" w:themeColor="text1"/>
          <w:szCs w:val="21"/>
          <w:lang w:val="en-US" w:eastAsia="zh-CN"/>
        </w:rPr>
        <w:t>5</w:t>
      </w:r>
      <w:r>
        <w:rPr>
          <w:rFonts w:hint="eastAsia" w:ascii="宋体" w:hAnsi="宋体" w:eastAsia="宋体"/>
          <w:bCs/>
          <w:color w:val="000000" w:themeColor="text1"/>
          <w:szCs w:val="21"/>
        </w:rPr>
        <w:t>项质量目标，对目标进行了分解，查20</w:t>
      </w:r>
      <w:r>
        <w:rPr>
          <w:rFonts w:hint="eastAsia" w:ascii="宋体" w:hAnsi="宋体" w:eastAsia="宋体"/>
          <w:bCs/>
          <w:color w:val="000000" w:themeColor="text1"/>
          <w:szCs w:val="21"/>
          <w:lang w:val="en-US" w:eastAsia="zh-CN"/>
        </w:rPr>
        <w:t>22</w:t>
      </w:r>
      <w:r>
        <w:rPr>
          <w:rFonts w:hint="eastAsia" w:ascii="宋体" w:hAnsi="宋体" w:eastAsia="宋体"/>
          <w:bCs/>
          <w:color w:val="000000" w:themeColor="text1"/>
          <w:szCs w:val="21"/>
        </w:rPr>
        <w:t>年1月到</w:t>
      </w:r>
      <w:r>
        <w:rPr>
          <w:rFonts w:hint="eastAsia" w:ascii="宋体" w:hAnsi="宋体" w:eastAsia="宋体"/>
          <w:bCs/>
          <w:color w:val="000000" w:themeColor="text1"/>
          <w:szCs w:val="21"/>
          <w:lang w:val="en-US" w:eastAsia="zh-CN"/>
        </w:rPr>
        <w:t>8</w:t>
      </w:r>
      <w:r>
        <w:rPr>
          <w:rFonts w:hint="eastAsia" w:ascii="宋体" w:hAnsi="宋体" w:eastAsia="宋体"/>
          <w:bCs/>
          <w:color w:val="000000" w:themeColor="text1"/>
          <w:szCs w:val="21"/>
        </w:rPr>
        <w:t>月质量目标完成情况检查表，按目标、措施、完成情况、未完成情况进行统计，记录内容全，每月统计，质量目标管理满足要求。</w:t>
      </w:r>
    </w:p>
    <w:p>
      <w:pPr>
        <w:widowControl/>
        <w:numPr>
          <w:ilvl w:val="0"/>
          <w:numId w:val="0"/>
        </w:num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lang w:val="en-US" w:eastAsia="zh-CN"/>
        </w:rPr>
        <w:t>8.</w:t>
      </w:r>
      <w:r>
        <w:rPr>
          <w:rFonts w:hint="eastAsia" w:asciiTheme="minorEastAsia" w:hAnsiTheme="minorEastAsia"/>
          <w:bCs/>
          <w:color w:val="000000" w:themeColor="text1"/>
          <w:szCs w:val="21"/>
        </w:rPr>
        <w:t>对企业组织任何变更的审核</w:t>
      </w:r>
    </w:p>
    <w:p>
      <w:pPr>
        <w:widowControl/>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rPr>
        <w:t>企业营业执照和组织机构未发生变化。</w:t>
      </w:r>
    </w:p>
    <w:p>
      <w:pPr>
        <w:widowControl/>
        <w:numPr>
          <w:ilvl w:val="0"/>
          <w:numId w:val="0"/>
        </w:numPr>
        <w:spacing w:line="360"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lang w:val="en-US" w:eastAsia="zh-CN"/>
        </w:rPr>
        <w:t>9.</w:t>
      </w:r>
      <w:r>
        <w:rPr>
          <w:rFonts w:hint="eastAsia" w:asciiTheme="minorEastAsia" w:hAnsiTheme="minorEastAsia"/>
          <w:bCs/>
          <w:color w:val="000000" w:themeColor="text1"/>
          <w:szCs w:val="21"/>
        </w:rPr>
        <w:t>标志的使用和（或）任何其他对认证资</w:t>
      </w:r>
      <w:r>
        <w:rPr>
          <w:rFonts w:hint="eastAsia"/>
          <w:bCs/>
          <w:color w:val="000000" w:themeColor="text1"/>
        </w:rPr>
        <w:t>格引用</w:t>
      </w:r>
      <w:r>
        <w:rPr>
          <w:rFonts w:cs="宋体" w:asciiTheme="minorEastAsia" w:hAnsiTheme="minorEastAsia"/>
          <w:bCs/>
          <w:color w:val="000000" w:themeColor="text1"/>
          <w:kern w:val="0"/>
          <w:szCs w:val="21"/>
        </w:rPr>
        <w:t>的情况：</w:t>
      </w:r>
    </w:p>
    <w:p>
      <w:pPr>
        <w:widowControl/>
        <w:spacing w:line="360" w:lineRule="auto"/>
        <w:rPr>
          <w:rFonts w:hint="eastAsia"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 xml:space="preserve"> 用于企业的形象宣传。</w:t>
      </w:r>
    </w:p>
    <w:p>
      <w:pPr>
        <w:widowControl/>
        <w:spacing w:line="360" w:lineRule="auto"/>
        <w:rPr>
          <w:rFonts w:ascii="宋体" w:hAnsi="宋体" w:eastAsia="宋体" w:cs="宋体"/>
          <w:color w:val="000000" w:themeColor="text1"/>
          <w:kern w:val="0"/>
          <w:szCs w:val="21"/>
        </w:rPr>
      </w:pPr>
      <w:r>
        <w:rPr>
          <w:rFonts w:hint="eastAsia" w:ascii="宋体" w:hAnsi="宋体" w:eastAsia="宋体" w:cs="宋体"/>
          <w:color w:val="000000" w:themeColor="text1"/>
          <w:kern w:val="0"/>
          <w:szCs w:val="21"/>
          <w:lang w:val="en-US" w:eastAsia="zh-CN"/>
        </w:rPr>
        <w:t>10.</w:t>
      </w:r>
      <w:r>
        <w:rPr>
          <w:rFonts w:hint="eastAsia" w:ascii="宋体" w:hAnsi="宋体" w:eastAsia="宋体" w:cs="宋体"/>
          <w:color w:val="000000" w:themeColor="text1"/>
          <w:kern w:val="0"/>
          <w:szCs w:val="21"/>
        </w:rPr>
        <w:t xml:space="preserve"> 本次监督审核</w:t>
      </w:r>
      <w:r>
        <w:rPr>
          <w:rFonts w:hint="eastAsia" w:ascii="宋体" w:hAnsi="宋体" w:eastAsia="宋体" w:cs="宋体"/>
          <w:color w:val="000000" w:themeColor="text1"/>
          <w:kern w:val="0"/>
          <w:szCs w:val="21"/>
          <w:lang w:val="en-US" w:eastAsia="zh-CN"/>
        </w:rPr>
        <w:t>未</w:t>
      </w:r>
      <w:r>
        <w:rPr>
          <w:rFonts w:hint="eastAsia" w:ascii="宋体" w:hAnsi="宋体" w:eastAsia="宋体" w:cs="宋体"/>
          <w:color w:val="000000" w:themeColor="text1"/>
          <w:kern w:val="0"/>
          <w:szCs w:val="21"/>
        </w:rPr>
        <w:t>出具一般不符合</w:t>
      </w:r>
      <w:r>
        <w:rPr>
          <w:rFonts w:hint="eastAsia" w:ascii="宋体" w:hAnsi="宋体" w:eastAsia="宋体" w:cs="宋体"/>
          <w:color w:val="000000" w:themeColor="text1"/>
          <w:kern w:val="0"/>
          <w:szCs w:val="21"/>
          <w:lang w:val="en-US" w:eastAsia="zh-CN"/>
        </w:rPr>
        <w:t xml:space="preserve">项 </w:t>
      </w:r>
      <w:r>
        <w:rPr>
          <w:rFonts w:hint="eastAsia" w:ascii="宋体" w:hAnsi="宋体" w:eastAsia="宋体" w:cs="宋体"/>
          <w:color w:val="000000" w:themeColor="text1"/>
          <w:kern w:val="0"/>
          <w:szCs w:val="21"/>
        </w:rPr>
        <w:t>，未发现严重的或系统性的不符合情况：</w:t>
      </w:r>
    </w:p>
    <w:p>
      <w:pPr>
        <w:widowControl/>
        <w:numPr>
          <w:ilvl w:val="0"/>
          <w:numId w:val="0"/>
        </w:numPr>
        <w:spacing w:line="360" w:lineRule="auto"/>
        <w:ind w:leftChars="0"/>
        <w:jc w:val="both"/>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11.</w:t>
      </w:r>
      <w:r>
        <w:rPr>
          <w:rFonts w:hint="eastAsia" w:ascii="宋体" w:hAnsi="宋体"/>
          <w:color w:val="000000" w:themeColor="text1"/>
          <w:szCs w:val="21"/>
        </w:rPr>
        <w:t>产品的销售</w:t>
      </w:r>
      <w:r>
        <w:rPr>
          <w:rFonts w:hint="eastAsia" w:ascii="宋体" w:hAnsi="宋体"/>
          <w:color w:val="000000" w:themeColor="text1"/>
          <w:szCs w:val="21"/>
          <w:lang w:val="en-US" w:eastAsia="zh-CN"/>
        </w:rPr>
        <w:t>的情况：</w:t>
      </w:r>
    </w:p>
    <w:p>
      <w:pPr>
        <w:widowControl/>
        <w:spacing w:line="360" w:lineRule="auto"/>
        <w:ind w:firstLine="420" w:firstLineChars="200"/>
        <w:rPr>
          <w:rFonts w:hint="eastAsia" w:cs="宋体" w:asciiTheme="minorEastAsia" w:hAnsiTheme="minorEastAsia"/>
          <w:bCs/>
          <w:color w:val="auto"/>
          <w:kern w:val="0"/>
          <w:szCs w:val="21"/>
        </w:rPr>
      </w:pPr>
      <w:r>
        <w:rPr>
          <w:rFonts w:hint="eastAsia" w:ascii="宋体" w:hAnsi="宋体" w:eastAsia="宋体" w:cs="Times New Roman"/>
          <w:color w:val="000000" w:themeColor="text1"/>
          <w:szCs w:val="21"/>
        </w:rPr>
        <w:t>抽查</w:t>
      </w:r>
      <w:r>
        <w:rPr>
          <w:rFonts w:hint="eastAsia" w:ascii="宋体" w:hAnsi="宋体" w:eastAsia="宋体" w:cs="Times New Roman"/>
          <w:color w:val="000000" w:themeColor="text1"/>
          <w:szCs w:val="21"/>
          <w:lang w:eastAsia="zh-CN"/>
        </w:rPr>
        <w:t>，</w:t>
      </w:r>
      <w:r>
        <w:rPr>
          <w:rFonts w:hint="eastAsia" w:ascii="宋体" w:hAnsi="宋体" w:eastAsia="宋体" w:cs="Times New Roman"/>
          <w:color w:val="000000" w:themeColor="text1"/>
          <w:szCs w:val="21"/>
          <w:lang w:val="en-US" w:eastAsia="zh-CN"/>
        </w:rPr>
        <w:t>2022</w:t>
      </w:r>
      <w:r>
        <w:rPr>
          <w:rFonts w:hint="eastAsia" w:ascii="宋体" w:hAnsi="宋体" w:eastAsia="宋体" w:cs="Times New Roman"/>
          <w:color w:val="000000" w:themeColor="text1"/>
          <w:szCs w:val="21"/>
        </w:rPr>
        <w:t>年</w:t>
      </w:r>
      <w:r>
        <w:rPr>
          <w:rFonts w:hint="eastAsia" w:ascii="宋体" w:hAnsi="宋体" w:eastAsia="宋体" w:cs="Times New Roman"/>
          <w:color w:val="000000" w:themeColor="text1"/>
          <w:szCs w:val="21"/>
          <w:lang w:val="en-US" w:eastAsia="zh-CN"/>
        </w:rPr>
        <w:t>3</w:t>
      </w:r>
      <w:r>
        <w:rPr>
          <w:rFonts w:hint="eastAsia" w:ascii="宋体" w:hAnsi="宋体" w:eastAsia="宋体" w:cs="Times New Roman"/>
          <w:color w:val="000000" w:themeColor="text1"/>
          <w:szCs w:val="21"/>
        </w:rPr>
        <w:t>月</w:t>
      </w:r>
      <w:r>
        <w:rPr>
          <w:rFonts w:hint="eastAsia" w:ascii="宋体" w:hAnsi="宋体" w:eastAsia="宋体" w:cs="Times New Roman"/>
          <w:color w:val="000000" w:themeColor="text1"/>
          <w:szCs w:val="21"/>
          <w:lang w:val="en-US" w:eastAsia="zh-CN"/>
        </w:rPr>
        <w:t>20</w:t>
      </w:r>
      <w:r>
        <w:rPr>
          <w:rFonts w:hint="eastAsia" w:ascii="宋体" w:hAnsi="宋体" w:eastAsia="宋体" w:cs="Times New Roman"/>
          <w:color w:val="000000" w:themeColor="text1"/>
          <w:szCs w:val="21"/>
        </w:rPr>
        <w:t>日</w:t>
      </w:r>
      <w:r>
        <w:rPr>
          <w:rFonts w:hint="eastAsia" w:ascii="宋体" w:hAnsi="宋体" w:eastAsia="宋体" w:cs="Times New Roman"/>
          <w:color w:val="000000" w:themeColor="text1"/>
          <w:szCs w:val="21"/>
          <w:lang w:val="en-US" w:eastAsia="zh-CN"/>
        </w:rPr>
        <w:t>与宝鸡法士特齿轮有限责任公司</w:t>
      </w:r>
      <w:r>
        <w:rPr>
          <w:rFonts w:hint="eastAsia" w:ascii="宋体" w:hAnsi="宋体" w:eastAsia="宋体" w:cs="Times New Roman"/>
          <w:color w:val="000000" w:themeColor="text1"/>
          <w:szCs w:val="21"/>
        </w:rPr>
        <w:t>签订合同编号</w:t>
      </w:r>
      <w:r>
        <w:rPr>
          <w:rFonts w:hint="eastAsia" w:ascii="宋体" w:hAnsi="宋体" w:eastAsia="宋体" w:cs="Times New Roman"/>
          <w:color w:val="000000" w:themeColor="text1"/>
          <w:szCs w:val="21"/>
          <w:lang w:val="en-US" w:eastAsia="zh-CN"/>
        </w:rPr>
        <w:t>BFCGXZ20220320</w:t>
      </w:r>
      <w:r>
        <w:rPr>
          <w:rFonts w:hint="eastAsia" w:ascii="宋体" w:hAnsi="宋体" w:eastAsia="宋体" w:cs="Times New Roman"/>
          <w:color w:val="000000" w:themeColor="text1"/>
          <w:szCs w:val="21"/>
        </w:rPr>
        <w:t>，</w:t>
      </w:r>
      <w:r>
        <w:rPr>
          <w:rFonts w:hint="eastAsia" w:ascii="宋体" w:hAnsi="宋体"/>
          <w:color w:val="000000" w:themeColor="text1"/>
          <w:szCs w:val="21"/>
        </w:rPr>
        <w:t>锻造</w:t>
      </w:r>
      <w:r>
        <w:rPr>
          <w:rFonts w:hint="eastAsia" w:ascii="宋体" w:hAnsi="宋体"/>
          <w:color w:val="000000" w:themeColor="text1"/>
          <w:szCs w:val="21"/>
          <w:lang w:val="en-US" w:eastAsia="zh-CN"/>
        </w:rPr>
        <w:t>件</w:t>
      </w:r>
      <w:r>
        <w:rPr>
          <w:rFonts w:hint="eastAsia" w:ascii="宋体" w:hAnsi="宋体"/>
          <w:color w:val="000000" w:themeColor="text1"/>
          <w:szCs w:val="21"/>
        </w:rPr>
        <w:t>、铸造</w:t>
      </w:r>
      <w:r>
        <w:rPr>
          <w:rFonts w:hint="eastAsia" w:ascii="宋体" w:hAnsi="宋体"/>
          <w:color w:val="000000" w:themeColor="text1"/>
          <w:szCs w:val="21"/>
          <w:lang w:val="en-US" w:eastAsia="zh-CN"/>
        </w:rPr>
        <w:t>件</w:t>
      </w:r>
      <w:r>
        <w:rPr>
          <w:rFonts w:hint="eastAsia" w:ascii="宋体" w:hAnsi="宋体"/>
          <w:color w:val="000000" w:themeColor="text1"/>
          <w:szCs w:val="21"/>
        </w:rPr>
        <w:t>、机械零配件</w:t>
      </w:r>
      <w:r>
        <w:rPr>
          <w:rFonts w:hint="eastAsia" w:ascii="宋体" w:hAnsi="宋体" w:eastAsia="宋体" w:cs="Times New Roman"/>
          <w:color w:val="000000" w:themeColor="text1"/>
          <w:szCs w:val="21"/>
          <w:lang w:val="en-US" w:eastAsia="zh-CN"/>
        </w:rPr>
        <w:t>等</w:t>
      </w:r>
      <w:r>
        <w:rPr>
          <w:rFonts w:hint="eastAsia" w:ascii="宋体" w:hAnsi="宋体" w:eastAsia="宋体" w:cs="Times New Roman"/>
          <w:color w:val="000000" w:themeColor="text1"/>
          <w:szCs w:val="21"/>
        </w:rPr>
        <w:t>产品的销售合同。确认企业对应的产品生产过程涉及有对应的测量过程和测量设备，测量设备的配备可满足该合同产品的生产和检验要求</w:t>
      </w:r>
      <w:r>
        <w:rPr>
          <w:rFonts w:hint="eastAsia" w:ascii="宋体" w:hAnsi="宋体" w:eastAsia="宋体" w:cs="Times New Roman"/>
          <w:color w:val="000000"/>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ascii="宋体" w:hAnsi="宋体" w:eastAsia="宋体" w:cs="宋体"/>
          <w:color w:val="auto"/>
          <w:kern w:val="0"/>
          <w:szCs w:val="28"/>
        </w:rPr>
      </w:pPr>
      <w:r>
        <w:rPr>
          <w:rFonts w:hint="eastAsia" w:ascii="宋体" w:hAnsi="宋体" w:eastAsia="宋体" w:cs="宋体"/>
          <w:b/>
          <w:bCs/>
          <w:color w:val="auto"/>
          <w:kern w:val="0"/>
          <w:szCs w:val="21"/>
        </w:rPr>
        <w:t>三、</w:t>
      </w:r>
      <w:r>
        <w:rPr>
          <w:rFonts w:ascii="宋体" w:hAnsi="宋体" w:eastAsia="宋体" w:cs="宋体"/>
          <w:b/>
          <w:bCs/>
          <w:color w:val="auto"/>
          <w:kern w:val="0"/>
          <w:szCs w:val="21"/>
        </w:rPr>
        <w:t>监督审核结论意见</w:t>
      </w:r>
      <w:r>
        <w:rPr>
          <w:rFonts w:ascii="宋体" w:hAnsi="宋体" w:eastAsia="宋体" w:cs="宋体"/>
          <w:bCs/>
          <w:color w:val="auto"/>
          <w:kern w:val="0"/>
          <w:szCs w:val="21"/>
        </w:rPr>
        <w:t>(</w:t>
      </w:r>
      <w:r>
        <w:rPr>
          <w:rFonts w:ascii="宋体" w:hAnsi="宋体" w:eastAsia="宋体" w:cs="宋体"/>
          <w:color w:val="auto"/>
          <w:kern w:val="0"/>
          <w:szCs w:val="21"/>
        </w:rPr>
        <w:t>含需要说</w:t>
      </w:r>
      <w:r>
        <w:rPr>
          <w:rFonts w:ascii="宋体" w:hAnsi="宋体" w:eastAsia="宋体" w:cs="宋体"/>
          <w:color w:val="auto"/>
          <w:kern w:val="0"/>
          <w:szCs w:val="28"/>
        </w:rPr>
        <w:t>明的事项):</w:t>
      </w:r>
    </w:p>
    <w:p>
      <w:pPr>
        <w:widowControl/>
        <w:spacing w:line="360" w:lineRule="auto"/>
        <w:ind w:firstLine="420" w:firstLineChars="200"/>
        <w:rPr>
          <w:rFonts w:ascii="宋体" w:hAnsi="宋体" w:eastAsia="宋体" w:cs="宋体"/>
          <w:b/>
          <w:bCs/>
          <w:kern w:val="0"/>
          <w:szCs w:val="28"/>
        </w:rPr>
      </w:pPr>
      <w:r>
        <w:rPr>
          <w:rFonts w:hint="eastAsia" w:ascii="宋体" w:hAnsi="宋体" w:eastAsia="宋体" w:cs="Times New Roman"/>
          <w:color w:val="000000" w:themeColor="text1"/>
          <w:szCs w:val="21"/>
        </w:rPr>
        <w:t>通过20</w:t>
      </w:r>
      <w:r>
        <w:rPr>
          <w:rFonts w:hint="eastAsia" w:ascii="宋体" w:hAnsi="宋体" w:eastAsia="宋体" w:cs="Times New Roman"/>
          <w:color w:val="000000" w:themeColor="text1"/>
          <w:szCs w:val="21"/>
          <w:lang w:val="en-US" w:eastAsia="zh-CN"/>
        </w:rPr>
        <w:t>22</w:t>
      </w:r>
      <w:r>
        <w:rPr>
          <w:rFonts w:hint="eastAsia" w:ascii="宋体" w:hAnsi="宋体" w:eastAsia="宋体" w:cs="Times New Roman"/>
          <w:color w:val="000000" w:themeColor="text1"/>
          <w:szCs w:val="21"/>
        </w:rPr>
        <w:t>年</w:t>
      </w:r>
      <w:r>
        <w:rPr>
          <w:rFonts w:hint="eastAsia" w:ascii="宋体" w:hAnsi="宋体" w:eastAsia="宋体" w:cs="Times New Roman"/>
          <w:color w:val="000000" w:themeColor="text1"/>
          <w:szCs w:val="21"/>
          <w:lang w:val="en-US" w:eastAsia="zh-CN"/>
        </w:rPr>
        <w:t>9</w:t>
      </w:r>
      <w:r>
        <w:rPr>
          <w:rFonts w:hint="eastAsia" w:ascii="宋体" w:hAnsi="宋体" w:eastAsia="宋体" w:cs="Times New Roman"/>
          <w:color w:val="000000" w:themeColor="text1"/>
          <w:szCs w:val="21"/>
        </w:rPr>
        <w:t>月</w:t>
      </w:r>
      <w:r>
        <w:rPr>
          <w:rFonts w:hint="eastAsia" w:ascii="宋体" w:hAnsi="宋体" w:eastAsia="宋体" w:cs="Times New Roman"/>
          <w:color w:val="000000" w:themeColor="text1"/>
          <w:szCs w:val="21"/>
          <w:lang w:val="en-US" w:eastAsia="zh-CN"/>
        </w:rPr>
        <w:t>7</w:t>
      </w:r>
      <w:r>
        <w:rPr>
          <w:rFonts w:hint="eastAsia" w:ascii="宋体" w:hAnsi="宋体" w:eastAsia="宋体" w:cs="Times New Roman"/>
          <w:color w:val="000000" w:themeColor="text1"/>
          <w:szCs w:val="21"/>
        </w:rPr>
        <w:t>日，对岐山振兴现代锻造有限公司</w:t>
      </w:r>
      <w:r>
        <w:rPr>
          <w:rFonts w:hint="eastAsia" w:cs="宋体" w:asciiTheme="minorEastAsia" w:hAnsiTheme="minorEastAsia"/>
          <w:bCs/>
          <w:kern w:val="0"/>
          <w:szCs w:val="21"/>
          <w:lang w:val="en-US" w:eastAsia="zh-CN"/>
        </w:rPr>
        <w:t>远程</w:t>
      </w:r>
      <w:r>
        <w:rPr>
          <w:rFonts w:hint="eastAsia" w:cs="宋体" w:asciiTheme="minorEastAsia" w:hAnsiTheme="minorEastAsia"/>
          <w:bCs/>
          <w:kern w:val="0"/>
          <w:szCs w:val="21"/>
        </w:rPr>
        <w:t>监督</w:t>
      </w:r>
      <w:r>
        <w:rPr>
          <w:rFonts w:cs="宋体" w:asciiTheme="minorEastAsia" w:hAnsiTheme="minorEastAsia"/>
          <w:bCs/>
          <w:kern w:val="0"/>
          <w:szCs w:val="21"/>
        </w:rPr>
        <w:t>审核</w:t>
      </w:r>
      <w:r>
        <w:rPr>
          <w:rFonts w:hint="eastAsia" w:cs="宋体" w:asciiTheme="minorEastAsia" w:hAnsiTheme="minorEastAsia"/>
          <w:bCs/>
          <w:kern w:val="0"/>
          <w:szCs w:val="21"/>
        </w:rPr>
        <w:t>.</w:t>
      </w:r>
      <w:r>
        <w:rPr>
          <w:rFonts w:hint="eastAsia" w:ascii="宋体" w:hAnsi="宋体"/>
          <w:color w:val="auto"/>
          <w:szCs w:val="21"/>
          <w:lang w:val="en-US" w:eastAsia="zh-CN"/>
        </w:rPr>
        <w:t>通过</w:t>
      </w:r>
      <w:bookmarkStart w:id="11" w:name="_GoBack"/>
      <w:bookmarkEnd w:id="11"/>
      <w:r>
        <w:rPr>
          <w:rFonts w:hint="eastAsia" w:ascii="宋体" w:hAnsi="宋体"/>
          <w:color w:val="auto"/>
          <w:szCs w:val="21"/>
          <w:lang w:val="en-US" w:eastAsia="zh-CN"/>
        </w:rPr>
        <w:t>腾讯会议及微信、手机视频， 通过审核电子文档、照片或截屏、视频等形式获取信息，</w:t>
      </w:r>
      <w:r>
        <w:rPr>
          <w:rFonts w:hint="eastAsia" w:ascii="宋体" w:hAnsi="宋体" w:eastAsia="宋体" w:cs="Times New Roman"/>
          <w:color w:val="000000" w:themeColor="text1"/>
          <w:szCs w:val="21"/>
        </w:rPr>
        <w:t>验证了公司在去年一年内，测量管理体系运作情况，公司领导重视体系运行和管理，体系文件得到有效实施，企业管理规范，测量过程受控、监视方法正确有效，重要测量人员能力受控，测量设备、测量环境、测量软件、测量记录及外部供方管理等各项工作。综上所述，审核组认为岐山振兴现代锻造有限公司测量管理体系，符合GB/T 19022-2003标准要求，对体系运行具有持续的有效性、符合性予以肯定。建议报请北京国标联合认证有限公司批准通过监督审核。</w:t>
      </w:r>
    </w:p>
    <w:p>
      <w:pPr>
        <w:widowControl/>
        <w:spacing w:line="360" w:lineRule="auto"/>
        <w:jc w:val="left"/>
        <w:rPr>
          <w:rFonts w:ascii="宋体" w:hAnsi="宋体" w:cs="宋体"/>
          <w:kern w:val="0"/>
          <w:szCs w:val="21"/>
        </w:rPr>
      </w:pPr>
    </w:p>
    <w:p>
      <w:pPr>
        <w:widowControl/>
        <w:spacing w:line="360" w:lineRule="auto"/>
        <w:jc w:val="left"/>
        <w:rPr>
          <w:rFonts w:hint="default" w:ascii="宋体" w:hAnsi="宋体" w:eastAsia="宋体" w:cs="宋体"/>
          <w:kern w:val="0"/>
          <w:szCs w:val="21"/>
          <w:lang w:val="en-US" w:eastAsia="zh-CN"/>
        </w:rPr>
      </w:pPr>
      <w:r>
        <w:rPr>
          <w:rFonts w:hint="eastAsia" w:ascii="宋体" w:hAnsi="宋体" w:cs="宋体" w:eastAsiaTheme="minorEastAsia"/>
          <w:kern w:val="0"/>
          <w:szCs w:val="21"/>
          <w:lang w:eastAsia="zh-CN"/>
        </w:rPr>
        <w:drawing>
          <wp:anchor distT="0" distB="0" distL="114300" distR="114300" simplePos="0" relativeHeight="251661312" behindDoc="0" locked="0" layoutInCell="1" allowOverlap="1">
            <wp:simplePos x="0" y="0"/>
            <wp:positionH relativeFrom="column">
              <wp:posOffset>1473200</wp:posOffset>
            </wp:positionH>
            <wp:positionV relativeFrom="paragraph">
              <wp:posOffset>54610</wp:posOffset>
            </wp:positionV>
            <wp:extent cx="294640" cy="226060"/>
            <wp:effectExtent l="0" t="0" r="10160" b="2540"/>
            <wp:wrapNone/>
            <wp:docPr id="49" name="图片 49" descr="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李俐"/>
                    <pic:cNvPicPr>
                      <a:picLocks noChangeAspect="1"/>
                    </pic:cNvPicPr>
                  </pic:nvPicPr>
                  <pic:blipFill>
                    <a:blip r:embed="rId6"/>
                    <a:stretch>
                      <a:fillRect/>
                    </a:stretch>
                  </pic:blipFill>
                  <pic:spPr>
                    <a:xfrm>
                      <a:off x="0" y="0"/>
                      <a:ext cx="294640" cy="226060"/>
                    </a:xfrm>
                    <a:prstGeom prst="rect">
                      <a:avLst/>
                    </a:prstGeom>
                  </pic:spPr>
                </pic:pic>
              </a:graphicData>
            </a:graphic>
          </wp:anchor>
        </w:drawing>
      </w: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2022.9.7</w:t>
      </w:r>
    </w:p>
    <w:p>
      <w:pPr>
        <w:widowControl/>
        <w:spacing w:line="360" w:lineRule="auto"/>
        <w:jc w:val="left"/>
        <w:rPr>
          <w:rFonts w:ascii="宋体" w:hAnsi="宋体" w:eastAsia="宋体" w:cs="宋体"/>
          <w:kern w:val="0"/>
          <w:szCs w:val="21"/>
        </w:rPr>
      </w:pP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AF929"/>
    <w:multiLevelType w:val="singleLevel"/>
    <w:tmpl w:val="CF1AF929"/>
    <w:lvl w:ilvl="0" w:tentative="0">
      <w:start w:val="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04911ED5"/>
    <w:rsid w:val="22E758D7"/>
    <w:rsid w:val="606A17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0</TotalTime>
  <ScaleCrop>false</ScaleCrop>
  <LinksUpToDate>false</LinksUpToDate>
  <CharactersWithSpaces>2163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2022-09-26T03:11:54Z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81EE4FCA02444C65A6133FB8ED61FAE9</vt:lpwstr>
  </property>
</Properties>
</file>