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0588-2022-EnMS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鑫福传动部件（无锡）有限公司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鑫福传动部件（无锡）有限公司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无锡市惠山区前洲街道北幢村</w:t>
            </w:r>
            <w:bookmarkEnd w:id="6"/>
          </w:p>
        </w:tc>
        <w:tc>
          <w:tcPr>
            <w:tcW w:w="1242" w:type="dxa"/>
            <w:vMerge w:val="restart"/>
            <w:vAlign w:val="center"/>
          </w:tcPr>
          <w:p>
            <w:r>
              <w:rPr>
                <w:rFonts w:hint="eastAsia"/>
              </w:rPr>
              <w:t>邮编</w:t>
            </w:r>
          </w:p>
        </w:tc>
        <w:tc>
          <w:tcPr>
            <w:tcW w:w="1771" w:type="dxa"/>
          </w:tcPr>
          <w:p>
            <w:bookmarkStart w:id="7" w:name="注册邮编"/>
            <w:r>
              <w:t>214181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无锡市惠山区前洲街道北幢村</w:t>
            </w:r>
            <w:bookmarkEnd w:id="8"/>
          </w:p>
        </w:tc>
        <w:tc>
          <w:tcPr>
            <w:tcW w:w="1242" w:type="dxa"/>
            <w:vMerge w:val="continue"/>
            <w:vAlign w:val="center"/>
          </w:tcPr>
          <w:p/>
        </w:tc>
        <w:tc>
          <w:tcPr>
            <w:tcW w:w="1771" w:type="dxa"/>
          </w:tcPr>
          <w:p>
            <w:bookmarkStart w:id="9" w:name="办公邮编"/>
            <w:r>
              <w:t>214181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吴浩星</w:t>
            </w:r>
            <w:bookmarkEnd w:id="10"/>
          </w:p>
        </w:tc>
        <w:tc>
          <w:tcPr>
            <w:tcW w:w="1313" w:type="dxa"/>
            <w:vAlign w:val="center"/>
          </w:tcPr>
          <w:p>
            <w:r>
              <w:rPr>
                <w:rFonts w:hint="eastAsia"/>
              </w:rPr>
              <w:t>电话.</w:t>
            </w:r>
          </w:p>
        </w:tc>
        <w:tc>
          <w:tcPr>
            <w:tcW w:w="2180" w:type="dxa"/>
            <w:vAlign w:val="center"/>
          </w:tcPr>
          <w:p>
            <w:bookmarkStart w:id="11" w:name="联系人电话"/>
            <w:r>
              <w:t>13706192591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周雷</w:t>
            </w:r>
            <w:bookmarkEnd w:id="13"/>
          </w:p>
        </w:tc>
        <w:tc>
          <w:tcPr>
            <w:tcW w:w="1313" w:type="dxa"/>
            <w:vAlign w:val="center"/>
          </w:tcPr>
          <w:p>
            <w:r>
              <w:rPr>
                <w:rFonts w:hint="eastAsia"/>
              </w:rPr>
              <w:t>管理者代表</w:t>
            </w:r>
          </w:p>
        </w:tc>
        <w:tc>
          <w:tcPr>
            <w:tcW w:w="2180" w:type="dxa"/>
          </w:tcPr>
          <w:p>
            <w:bookmarkStart w:id="14" w:name="管理者代表"/>
            <w:r>
              <w:t>吴浩星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Times New Roman"/>
                <w:b/>
                <w:bCs/>
                <w:color w:val="000000"/>
                <w:szCs w:val="21"/>
                <w:highlight w:val="none"/>
                <w:lang w:val="en-US" w:eastAsia="zh-CN"/>
              </w:rPr>
              <w:t>原材料检验（废钢、合金）</w:t>
            </w:r>
            <w:r>
              <w:rPr>
                <w:rFonts w:hint="eastAsia" w:ascii="宋体" w:hAnsi="宋体" w:eastAsia="宋体" w:cs="Times New Roman"/>
                <w:b/>
                <w:bCs/>
                <w:color w:val="000000"/>
                <w:szCs w:val="21"/>
                <w:lang w:val="en-US" w:eastAsia="zh-CN"/>
              </w:rPr>
              <w:t>→熔化→铸造→冷却成型→脱模清理→退火（适用时）→去毛刺→铸件→加热→锻压→缓冷→检验→成品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2022年09月08日 上午至2022年09月09日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w:t>
            </w:r>
            <w:r>
              <w:rPr>
                <w:rFonts w:hint="eastAsia" w:ascii="Times New Roman" w:hAnsi="Times New Roman" w:eastAsia="宋体" w:cs="Times New Roman"/>
                <w:lang w:val="de-DE"/>
              </w:rPr>
              <w:t xml:space="preserve">/T </w:t>
            </w:r>
            <w:r>
              <w:rPr>
                <w:rFonts w:hint="eastAsia" w:ascii="Times New Roman" w:hAnsi="Times New Roman" w:eastAsia="宋体" w:cs="Times New Roman"/>
              </w:rPr>
              <w:t xml:space="preserve"> 119-2015 能源管理体系 机械制造企业认证要求</w:t>
            </w:r>
            <w:r>
              <w:rPr>
                <w:rFonts w:hint="eastAsia" w:ascii="Times New Roman" w:hAnsi="Times New Roman" w:eastAsia="宋体" w:cs="Times New Roman"/>
                <w:lang w:val="de-DE"/>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hAnsi="Times New Roman" w:eastAsia="宋体" w:cs="Times New Roman"/>
                <w:b/>
                <w:color w:val="0000FF"/>
                <w:kern w:val="2"/>
                <w:sz w:val="21"/>
                <w:szCs w:val="21"/>
                <w:lang w:val="en-US" w:eastAsia="zh-CN" w:bidi="ar-SA"/>
              </w:rPr>
            </w:pPr>
            <w:r>
              <w:rPr>
                <w:rFonts w:hint="eastAsia" w:ascii="宋体"/>
                <w:b/>
                <w:color w:val="0000FF"/>
                <w:szCs w:val="21"/>
                <w:lang w:val="en-US" w:eastAsia="zh-CN"/>
              </w:rPr>
              <w:t>河北省石家庄市/北京市/江苏省无锡市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机械锻件的制造所涉及的能源管理活动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96"/>
        <w:gridCol w:w="1550"/>
        <w:gridCol w:w="1730"/>
        <w:gridCol w:w="1950"/>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596" w:type="dxa"/>
            <w:shd w:val="clear" w:color="auto" w:fill="F3F3F3"/>
            <w:tcMar>
              <w:left w:w="57" w:type="dxa"/>
              <w:right w:w="57" w:type="dxa"/>
            </w:tcMar>
          </w:tcPr>
          <w:p>
            <w:r>
              <w:rPr>
                <w:rFonts w:hint="eastAsia"/>
              </w:rPr>
              <w:t>组织名称及注册场所地址</w:t>
            </w:r>
          </w:p>
        </w:tc>
        <w:tc>
          <w:tcPr>
            <w:tcW w:w="1550" w:type="dxa"/>
            <w:shd w:val="clear" w:color="auto" w:fill="F3F3F3"/>
            <w:tcMar>
              <w:left w:w="57" w:type="dxa"/>
              <w:right w:w="57" w:type="dxa"/>
            </w:tcMar>
          </w:tcPr>
          <w:p>
            <w:r>
              <w:rPr>
                <w:rFonts w:hint="eastAsia"/>
              </w:rPr>
              <w:t>经营场所的地址</w:t>
            </w:r>
          </w:p>
          <w:p>
            <w:r>
              <w:rPr>
                <w:rFonts w:hint="eastAsia"/>
              </w:rPr>
              <w:t>（多现场和临时现场）</w:t>
            </w:r>
          </w:p>
        </w:tc>
        <w:tc>
          <w:tcPr>
            <w:tcW w:w="1730" w:type="dxa"/>
            <w:shd w:val="clear" w:color="auto" w:fill="F3F3F3"/>
            <w:tcMar>
              <w:left w:w="57" w:type="dxa"/>
              <w:right w:w="57" w:type="dxa"/>
            </w:tcMar>
          </w:tcPr>
          <w:p>
            <w:r>
              <w:rPr>
                <w:rFonts w:hint="eastAsia"/>
              </w:rPr>
              <w:t>员工人数</w:t>
            </w:r>
          </w:p>
        </w:tc>
        <w:tc>
          <w:tcPr>
            <w:tcW w:w="19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59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鑫福传动部件（无锡）有限公司</w:t>
            </w:r>
            <w:r>
              <w:rPr>
                <w:rFonts w:hint="eastAsia"/>
                <w:sz w:val="21"/>
                <w:szCs w:val="21"/>
                <w:lang w:val="en-US" w:eastAsia="zh-CN"/>
              </w:rPr>
              <w:t>/</w:t>
            </w:r>
            <w:r>
              <w:rPr>
                <w:sz w:val="21"/>
                <w:szCs w:val="21"/>
              </w:rPr>
              <w:t>无锡市惠山区前洲街道北幢村</w:t>
            </w:r>
          </w:p>
        </w:tc>
        <w:tc>
          <w:tcPr>
            <w:tcW w:w="155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无锡市惠山区前洲街道北幢村</w:t>
            </w:r>
          </w:p>
        </w:tc>
        <w:tc>
          <w:tcPr>
            <w:tcW w:w="1730"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ascii="Times New Roman" w:hAnsi="Times New Roman" w:eastAsia="宋体" w:cs="Times New Roman"/>
                <w:sz w:val="21"/>
                <w:szCs w:val="21"/>
                <w:lang w:val="en-US" w:eastAsia="zh-CN"/>
              </w:rPr>
              <w:t>总人数69人（能源体系30人）</w:t>
            </w:r>
          </w:p>
        </w:tc>
        <w:tc>
          <w:tcPr>
            <w:tcW w:w="1950" w:type="dxa"/>
            <w:vAlign w:val="center"/>
          </w:tcPr>
          <w:p>
            <w:pPr>
              <w:pStyle w:val="23"/>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机械锻件的制造所涉及的能源管理活动</w:t>
            </w:r>
          </w:p>
        </w:tc>
        <w:tc>
          <w:tcPr>
            <w:tcW w:w="1751" w:type="dxa"/>
            <w:vAlign w:val="center"/>
          </w:tcPr>
          <w:p>
            <w:pPr>
              <w:spacing w:before="40" w:after="40"/>
              <w:rPr>
                <w:rFonts w:hint="eastAsia"/>
                <w:lang w:val="en-US" w:eastAsia="zh-CN"/>
              </w:rPr>
            </w:pPr>
            <w:r>
              <w:rPr>
                <w:rFonts w:hint="eastAsia"/>
                <w:lang w:val="en-US" w:eastAsia="zh-CN"/>
              </w:rPr>
              <w:t>GB/T23331-2020</w:t>
            </w:r>
          </w:p>
          <w:p>
            <w:pPr>
              <w:pStyle w:val="3"/>
              <w:rPr>
                <w:rFonts w:ascii="Times New Roman" w:hAnsi="Times New Roman" w:eastAsia="黑体" w:cs="Times New Roman"/>
                <w:kern w:val="2"/>
                <w:sz w:val="21"/>
                <w:szCs w:val="21"/>
                <w:lang w:val="en-US" w:eastAsia="ja-JP" w:bidi="ar-SA"/>
              </w:rPr>
            </w:pPr>
            <w:r>
              <w:rPr>
                <w:rFonts w:hint="eastAsia" w:eastAsia="黑体"/>
                <w:szCs w:val="21"/>
                <w:lang w:val="en-US" w:eastAsia="zh-CN"/>
              </w:rPr>
              <w:t>RB/T119-2015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596" w:type="dxa"/>
            <w:vAlign w:val="center"/>
          </w:tcPr>
          <w:p>
            <w:pPr>
              <w:rPr>
                <w:lang w:eastAsia="ja-JP"/>
              </w:rPr>
            </w:pPr>
          </w:p>
        </w:tc>
        <w:tc>
          <w:tcPr>
            <w:tcW w:w="1550" w:type="dxa"/>
            <w:vAlign w:val="center"/>
          </w:tcPr>
          <w:p>
            <w:pPr>
              <w:rPr>
                <w:lang w:eastAsia="ja-JP"/>
              </w:rPr>
            </w:pPr>
          </w:p>
        </w:tc>
        <w:tc>
          <w:tcPr>
            <w:tcW w:w="1730" w:type="dxa"/>
            <w:vAlign w:val="center"/>
          </w:tcPr>
          <w:p>
            <w:pPr>
              <w:rPr>
                <w:lang w:eastAsia="ja-JP"/>
              </w:rPr>
            </w:pPr>
          </w:p>
        </w:tc>
        <w:tc>
          <w:tcPr>
            <w:tcW w:w="1950"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596" w:type="dxa"/>
            <w:vAlign w:val="center"/>
          </w:tcPr>
          <w:p>
            <w:pPr>
              <w:rPr>
                <w:lang w:eastAsia="ja-JP"/>
              </w:rPr>
            </w:pPr>
          </w:p>
        </w:tc>
        <w:tc>
          <w:tcPr>
            <w:tcW w:w="1550" w:type="dxa"/>
            <w:vAlign w:val="center"/>
          </w:tcPr>
          <w:p>
            <w:pPr>
              <w:rPr>
                <w:lang w:eastAsia="ja-JP"/>
              </w:rPr>
            </w:pPr>
          </w:p>
        </w:tc>
        <w:tc>
          <w:tcPr>
            <w:tcW w:w="1730" w:type="dxa"/>
            <w:vAlign w:val="center"/>
          </w:tcPr>
          <w:p>
            <w:pPr>
              <w:rPr>
                <w:lang w:eastAsia="ja-JP"/>
              </w:rPr>
            </w:pPr>
          </w:p>
        </w:tc>
        <w:tc>
          <w:tcPr>
            <w:tcW w:w="1950"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596" w:type="dxa"/>
            <w:vAlign w:val="center"/>
          </w:tcPr>
          <w:p>
            <w:pPr>
              <w:rPr>
                <w:lang w:eastAsia="ja-JP"/>
              </w:rPr>
            </w:pPr>
          </w:p>
        </w:tc>
        <w:tc>
          <w:tcPr>
            <w:tcW w:w="1550" w:type="dxa"/>
            <w:vAlign w:val="center"/>
          </w:tcPr>
          <w:p>
            <w:pPr>
              <w:rPr>
                <w:lang w:eastAsia="ja-JP"/>
              </w:rPr>
            </w:pPr>
          </w:p>
        </w:tc>
        <w:tc>
          <w:tcPr>
            <w:tcW w:w="1730" w:type="dxa"/>
            <w:vAlign w:val="center"/>
          </w:tcPr>
          <w:p>
            <w:pPr>
              <w:rPr>
                <w:lang w:eastAsia="ja-JP"/>
              </w:rPr>
            </w:pPr>
          </w:p>
        </w:tc>
        <w:tc>
          <w:tcPr>
            <w:tcW w:w="1950"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596" w:type="dxa"/>
            <w:vAlign w:val="center"/>
          </w:tcPr>
          <w:p>
            <w:pPr>
              <w:rPr>
                <w:lang w:eastAsia="ja-JP"/>
              </w:rPr>
            </w:pPr>
          </w:p>
        </w:tc>
        <w:tc>
          <w:tcPr>
            <w:tcW w:w="1550" w:type="dxa"/>
            <w:vAlign w:val="center"/>
          </w:tcPr>
          <w:p>
            <w:pPr>
              <w:rPr>
                <w:lang w:eastAsia="ja-JP"/>
              </w:rPr>
            </w:pPr>
          </w:p>
        </w:tc>
        <w:tc>
          <w:tcPr>
            <w:tcW w:w="1730" w:type="dxa"/>
            <w:vAlign w:val="center"/>
          </w:tcPr>
          <w:p>
            <w:pPr>
              <w:rPr>
                <w:lang w:eastAsia="ja-JP"/>
              </w:rPr>
            </w:pPr>
          </w:p>
        </w:tc>
        <w:tc>
          <w:tcPr>
            <w:tcW w:w="1950"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徐申</w:t>
            </w:r>
          </w:p>
        </w:tc>
        <w:tc>
          <w:tcPr>
            <w:tcW w:w="1089" w:type="dxa"/>
            <w:vAlign w:val="center"/>
          </w:tcPr>
          <w:p>
            <w:r>
              <w:t>组员</w:t>
            </w:r>
          </w:p>
        </w:tc>
        <w:tc>
          <w:tcPr>
            <w:tcW w:w="711" w:type="dxa"/>
            <w:vAlign w:val="center"/>
          </w:tcPr>
          <w:p>
            <w:r>
              <w:t>男</w:t>
            </w:r>
          </w:p>
        </w:tc>
        <w:tc>
          <w:tcPr>
            <w:tcW w:w="3870" w:type="dxa"/>
            <w:vAlign w:val="center"/>
          </w:tcPr>
          <w:p>
            <w:r>
              <w:t>ISC-JSZJ-526</w:t>
            </w:r>
          </w:p>
          <w:p>
            <w:r>
              <w:t>无锡先锋电机有限公司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982345" cy="306070"/>
                  <wp:effectExtent l="0" t="0" r="0" b="1143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生技部  </w:t>
            </w:r>
            <w:r>
              <w:rPr>
                <w:rFonts w:hint="eastAsia"/>
              </w:rPr>
              <w:sym w:font="Wingdings 2" w:char="0052"/>
            </w:r>
            <w:r>
              <w:rPr>
                <w:rFonts w:hint="eastAsia"/>
              </w:rPr>
              <w:t>能源管理团队</w:t>
            </w:r>
            <w:r>
              <w:rPr>
                <w:rFonts w:hint="eastAsia"/>
                <w:lang w:eastAsia="zh-CN"/>
              </w:rPr>
              <w:t>——</w:t>
            </w:r>
            <w:r>
              <w:rPr>
                <w:rFonts w:hint="eastAsia"/>
                <w:lang w:val="en-US" w:eastAsia="zh-CN"/>
              </w:rPr>
              <w:t>生技部</w:t>
            </w:r>
          </w:p>
          <w:p>
            <w:pPr>
              <w:shd w:val="clear" w:color="auto" w:fill="EBF1DE" w:themeFill="accent3" w:themeFillTint="32"/>
              <w:rPr>
                <w:rFonts w:hint="eastAsia" w:eastAsia="宋体"/>
                <w:lang w:val="en-US" w:eastAsia="zh-CN"/>
              </w:rPr>
            </w:pPr>
            <w:r>
              <w:rPr>
                <w:rFonts w:hint="eastAsia"/>
              </w:rPr>
              <w:t>能源管理者代表是——</w:t>
            </w:r>
            <w:r>
              <w:rPr>
                <w:rFonts w:hint="eastAsia"/>
                <w:highlight w:val="none"/>
                <w:lang w:val="en-US" w:eastAsia="zh-CN"/>
              </w:rPr>
              <w:t>吴浩星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t>□蒸汽</w:t>
            </w:r>
            <w:r>
              <w:rPr>
                <w:rFonts w:hint="eastAsia"/>
                <w:lang w:val="en-US" w:eastAsia="zh-CN"/>
              </w:rPr>
              <w:t xml:space="preserve">  </w:t>
            </w:r>
            <w:r>
              <w:rPr>
                <w:rFonts w:hint="eastAsia"/>
              </w:rPr>
              <w:sym w:font="Wingdings 2" w:char="0052"/>
            </w:r>
            <w:r>
              <w:rPr>
                <w:rFonts w:hint="eastAsia"/>
              </w:rPr>
              <w:t>天然气</w:t>
            </w:r>
            <w:r>
              <w:rPr>
                <w:rFonts w:hint="eastAsia"/>
                <w:lang w:val="en-US" w:eastAsia="zh-CN"/>
              </w:rPr>
              <w:t xml:space="preserve">  </w:t>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叉车用柴油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2022.8.10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2022年</w:t>
                  </w:r>
                  <w:r>
                    <w:rPr>
                      <w:rFonts w:hint="eastAsia" w:ascii="宋体" w:hAnsi="宋体"/>
                      <w:lang w:eastAsia="zh-CN"/>
                    </w:rPr>
                    <w:t>）</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2022.1-7</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rPr>
                    <w:t>综合能耗，</w:t>
                  </w:r>
                  <w:r>
                    <w:rPr>
                      <w:rFonts w:hint="eastAsia" w:ascii="宋体" w:hAnsi="宋体"/>
                      <w:sz w:val="21"/>
                      <w:szCs w:val="21"/>
                      <w:lang w:val="en-US" w:eastAsia="zh-CN"/>
                    </w:rPr>
                    <w:t>6150 t</w:t>
                  </w:r>
                  <w:r>
                    <w:rPr>
                      <w:rFonts w:hint="eastAsia" w:ascii="宋体" w:hAnsi="宋体"/>
                      <w:sz w:val="21"/>
                      <w:szCs w:val="21"/>
                    </w:rPr>
                    <w:t>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综合办/生技部</w:t>
                  </w:r>
                </w:p>
              </w:tc>
              <w:tc>
                <w:tcPr>
                  <w:tcW w:w="2797"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lang w:val="en-US" w:eastAsia="zh-CN"/>
                    </w:rPr>
                    <w:t>实际完成</w:t>
                  </w:r>
                  <w:r>
                    <w:rPr>
                      <w:rFonts w:hint="eastAsia" w:ascii="宋体" w:hAnsi="宋体"/>
                      <w:sz w:val="21"/>
                      <w:szCs w:val="21"/>
                      <w:lang w:val="en-US" w:eastAsia="zh-CN"/>
                    </w:rPr>
                    <w:t>3346.095 t</w:t>
                  </w:r>
                  <w:r>
                    <w:rPr>
                      <w:rFonts w:hint="eastAsia" w:ascii="宋体" w:hAnsi="宋体"/>
                      <w:sz w:val="21"/>
                      <w:szCs w:val="21"/>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jc w:val="left"/>
                    <w:rPr>
                      <w:rFonts w:ascii="Times New Roman" w:hAnsi="Times New Roman" w:eastAsia="宋体" w:cs="Times New Roman"/>
                      <w:kern w:val="2"/>
                      <w:sz w:val="21"/>
                      <w:szCs w:val="24"/>
                      <w:highlight w:val="yellow"/>
                      <w:lang w:val="en-US" w:eastAsia="zh-CN" w:bidi="ar-SA"/>
                    </w:rPr>
                  </w:pPr>
                  <w:r>
                    <w:rPr>
                      <w:rFonts w:hint="eastAsia" w:ascii="宋体" w:hAnsi="宋体"/>
                      <w:sz w:val="21"/>
                      <w:szCs w:val="21"/>
                    </w:rPr>
                    <w:t>单位产品综合能耗</w:t>
                  </w:r>
                  <w:r>
                    <w:rPr>
                      <w:rFonts w:hint="eastAsia" w:ascii="宋体" w:hAnsi="宋体"/>
                      <w:sz w:val="21"/>
                      <w:szCs w:val="21"/>
                      <w:lang w:val="en-US" w:eastAsia="zh-CN"/>
                    </w:rPr>
                    <w:t>0.10 t</w:t>
                  </w:r>
                  <w:r>
                    <w:rPr>
                      <w:rFonts w:hint="eastAsia" w:ascii="宋体" w:hAnsi="宋体"/>
                      <w:sz w:val="21"/>
                      <w:szCs w:val="21"/>
                    </w:rPr>
                    <w:t>ce/</w:t>
                  </w:r>
                  <w:r>
                    <w:rPr>
                      <w:rFonts w:hint="eastAsia" w:ascii="宋体" w:hAnsi="宋体"/>
                      <w:sz w:val="21"/>
                      <w:szCs w:val="21"/>
                      <w:lang w:val="en-US" w:eastAsia="zh-CN"/>
                    </w:rPr>
                    <w:t>台</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生技部</w:t>
                  </w:r>
                </w:p>
              </w:tc>
              <w:tc>
                <w:tcPr>
                  <w:tcW w:w="2797"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lang w:val="en-US" w:eastAsia="zh-CN"/>
                    </w:rPr>
                    <w:t>实际完成0</w:t>
                  </w:r>
                  <w:r>
                    <w:rPr>
                      <w:rFonts w:hint="eastAsia" w:ascii="宋体" w:hAnsi="宋体" w:eastAsia="宋体" w:cs="Times New Roman"/>
                      <w:color w:val="auto"/>
                      <w:sz w:val="21"/>
                      <w:szCs w:val="21"/>
                      <w:lang w:val="en-US" w:eastAsia="zh-CN"/>
                    </w:rPr>
                    <w:t>.12</w:t>
                  </w:r>
                  <w:r>
                    <w:rPr>
                      <w:rFonts w:hint="eastAsia" w:ascii="宋体" w:hAnsi="宋体"/>
                      <w:sz w:val="21"/>
                      <w:szCs w:val="21"/>
                      <w:lang w:val="en-US" w:eastAsia="zh-CN"/>
                    </w:rPr>
                    <w:t xml:space="preserve"> t</w:t>
                  </w:r>
                  <w:r>
                    <w:rPr>
                      <w:rFonts w:hint="eastAsia" w:ascii="宋体" w:hAnsi="宋体"/>
                      <w:sz w:val="21"/>
                      <w:szCs w:val="21"/>
                    </w:rPr>
                    <w:t>ce/</w:t>
                  </w:r>
                  <w:r>
                    <w:rPr>
                      <w:rFonts w:hint="eastAsia" w:ascii="宋体" w:hAnsi="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highlight w:val="yellow"/>
                    </w:rPr>
                  </w:pPr>
                  <w:r>
                    <w:rPr>
                      <w:rFonts w:hint="eastAsia" w:ascii="宋体" w:hAnsi="宋体"/>
                      <w:sz w:val="21"/>
                      <w:szCs w:val="21"/>
                    </w:rPr>
                    <w:t>单位产值综合能耗</w:t>
                  </w:r>
                  <w:r>
                    <w:rPr>
                      <w:rFonts w:hint="eastAsia" w:ascii="宋体" w:hAnsi="宋体"/>
                      <w:sz w:val="21"/>
                      <w:szCs w:val="21"/>
                      <w:lang w:val="en-US" w:eastAsia="zh-CN"/>
                    </w:rPr>
                    <w:t>0.27 t</w:t>
                  </w:r>
                  <w:r>
                    <w:rPr>
                      <w:rFonts w:hint="eastAsia" w:ascii="宋体" w:hAnsi="宋体"/>
                      <w:sz w:val="21"/>
                      <w:szCs w:val="21"/>
                    </w:rPr>
                    <w:t>ce/万元</w:t>
                  </w:r>
                </w:p>
              </w:tc>
              <w:tc>
                <w:tcPr>
                  <w:tcW w:w="2354"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综合办</w:t>
                  </w:r>
                </w:p>
              </w:tc>
              <w:tc>
                <w:tcPr>
                  <w:tcW w:w="2797" w:type="dxa"/>
                  <w:shd w:val="clear" w:color="auto" w:fill="auto"/>
                  <w:vAlign w:val="center"/>
                </w:tcPr>
                <w:p>
                  <w:pPr>
                    <w:jc w:val="center"/>
                    <w:rPr>
                      <w:rFonts w:ascii="宋体" w:hAnsi="宋体"/>
                      <w:highlight w:val="none"/>
                    </w:rPr>
                  </w:pPr>
                  <w:r>
                    <w:rPr>
                      <w:rFonts w:hint="eastAsia" w:ascii="宋体" w:hAnsi="宋体" w:cs="Times New Roman"/>
                      <w:color w:val="auto"/>
                      <w:sz w:val="21"/>
                      <w:szCs w:val="21"/>
                      <w:lang w:val="en-US" w:eastAsia="zh-CN"/>
                    </w:rPr>
                    <w:t>实际完成0</w:t>
                  </w:r>
                  <w:r>
                    <w:rPr>
                      <w:rFonts w:hint="eastAsia" w:ascii="宋体" w:hAnsi="宋体" w:eastAsia="宋体" w:cs="Times New Roman"/>
                      <w:color w:val="auto"/>
                      <w:sz w:val="21"/>
                      <w:szCs w:val="21"/>
                      <w:lang w:val="en-US" w:eastAsia="zh-CN"/>
                    </w:rPr>
                    <w:t>.27 t</w:t>
                  </w:r>
                  <w:r>
                    <w:rPr>
                      <w:rFonts w:hint="eastAsia" w:ascii="宋体" w:hAnsi="宋体"/>
                      <w:sz w:val="21"/>
                      <w:szCs w:val="21"/>
                    </w:rPr>
                    <w:t>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w:t>
            </w:r>
            <w:r>
              <w:rPr>
                <w:rFonts w:hint="eastAsia"/>
                <w:highlight w:val="none"/>
                <w:lang w:val="en-US" w:eastAsia="zh-CN"/>
              </w:rPr>
              <w:t>部分</w:t>
            </w:r>
            <w:r>
              <w:rPr>
                <w:rFonts w:hint="eastAsia"/>
                <w:highlight w:val="none"/>
              </w:rPr>
              <w:t>实现</w:t>
            </w:r>
            <w:r>
              <w:rPr>
                <w:rFonts w:hint="eastAsia"/>
                <w:highlight w:val="none"/>
                <w:lang w:eastAsia="zh-CN"/>
              </w:rPr>
              <w:t>，</w:t>
            </w:r>
            <w:r>
              <w:rPr>
                <w:rFonts w:hint="eastAsia"/>
                <w:highlight w:val="none"/>
                <w:lang w:val="en-US" w:eastAsia="zh-CN"/>
              </w:rPr>
              <w:t>单位产品综合能耗指标略高于高于目标值。</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highlight w:val="none"/>
              </w:rPr>
              <w:t>企业</w:t>
            </w:r>
            <w:r>
              <w:rPr>
                <w:rFonts w:hint="eastAsia"/>
                <w:color w:val="auto"/>
                <w:szCs w:val="21"/>
                <w:lang w:val="en-US" w:eastAsia="zh-CN"/>
              </w:rPr>
              <w:t>占地面积14500平方</w:t>
            </w:r>
            <w:r>
              <w:rPr>
                <w:rFonts w:hint="eastAsia"/>
                <w:highlight w:val="none"/>
              </w:rPr>
              <w:t>，建</w:t>
            </w:r>
            <w:r>
              <w:rPr>
                <w:rFonts w:hint="eastAsia" w:ascii="Times New Roman" w:hAnsi="Times New Roman" w:eastAsia="宋体" w:cs="Times New Roman"/>
              </w:rPr>
              <w:t>筑面积</w:t>
            </w:r>
            <w:r>
              <w:rPr>
                <w:rFonts w:hint="eastAsia" w:ascii="Times New Roman" w:hAnsi="Times New Roman" w:eastAsia="宋体" w:cs="Times New Roman"/>
                <w:lang w:val="en-US" w:eastAsia="zh-CN"/>
              </w:rPr>
              <w:t>12000</w:t>
            </w:r>
            <w:r>
              <w:rPr>
                <w:rFonts w:hint="eastAsia" w:ascii="Times New Roman" w:hAnsi="Times New Roman" w:eastAsia="宋体" w:cs="Times New Roman"/>
              </w:rPr>
              <w:t>平方米；生产</w:t>
            </w:r>
            <w:r>
              <w:rPr>
                <w:rFonts w:hint="eastAsia" w:ascii="Times New Roman" w:hAnsi="Times New Roman" w:eastAsia="宋体" w:cs="Times New Roman"/>
                <w:lang w:val="en-US" w:eastAsia="zh-CN"/>
              </w:rPr>
              <w:t>包括炼钢过程及设备、加热炉、配电、空压机、除尘设备等）、锻造厂（含锻造过程及设备、加热炉、锻压机、高低压配电等）</w:t>
            </w:r>
            <w:r>
              <w:rPr>
                <w:rFonts w:hint="eastAsia" w:ascii="Times New Roman" w:hAnsi="Times New Roman" w:eastAsia="宋体" w:cs="Times New Roman"/>
              </w:rPr>
              <w:t>；库房</w:t>
            </w:r>
            <w:r>
              <w:rPr>
                <w:rFonts w:hint="eastAsia" w:ascii="Times New Roman" w:hAnsi="Times New Roman" w:eastAsia="宋体" w:cs="Times New Roman"/>
                <w:lang w:val="en-US" w:eastAsia="zh-CN"/>
              </w:rPr>
              <w:t>2</w:t>
            </w:r>
            <w:r>
              <w:rPr>
                <w:rFonts w:hint="eastAsia" w:ascii="Times New Roman" w:hAnsi="Times New Roman" w:eastAsia="宋体" w:cs="Times New Roman"/>
              </w:rPr>
              <w:t>个</w:t>
            </w:r>
            <w:r>
              <w:rPr>
                <w:rFonts w:hint="eastAsia" w:ascii="Times New Roman" w:hAnsi="Times New Roman" w:eastAsia="宋体" w:cs="Times New Roman"/>
                <w:lang w:val="en-US" w:eastAsia="zh-CN"/>
              </w:rPr>
              <w:t>(产品库、钢材库）</w:t>
            </w:r>
            <w:r>
              <w:rPr>
                <w:rFonts w:hint="eastAsia" w:ascii="Times New Roman" w:hAnsi="Times New Roman" w:eastAsia="宋体" w:cs="Times New Roman"/>
              </w:rPr>
              <w:t>；实验室</w:t>
            </w:r>
            <w:r>
              <w:rPr>
                <w:rFonts w:hint="eastAsia" w:ascii="Times New Roman" w:hAnsi="Times New Roman" w:eastAsia="宋体" w:cs="Times New Roman"/>
                <w:lang w:val="en-US" w:eastAsia="zh-CN"/>
              </w:rPr>
              <w:t>1（理化实验室）</w:t>
            </w:r>
            <w:r>
              <w:rPr>
                <w:rFonts w:hint="eastAsia" w:ascii="Times New Roman" w:hAnsi="Times New Roman" w:eastAsia="宋体" w:cs="Times New Roman"/>
              </w:rPr>
              <w:t>个；</w:t>
            </w:r>
          </w:p>
          <w:p>
            <w:pPr>
              <w:shd w:val="clear" w:color="auto" w:fill="EBF1DE" w:themeFill="accent3" w:themeFillTint="32"/>
              <w:rPr>
                <w:u w:val="single"/>
              </w:rPr>
            </w:pPr>
            <w:r>
              <w:rPr>
                <w:rFonts w:hint="eastAsia" w:ascii="Times New Roman" w:hAnsi="Times New Roman" w:eastAsia="宋体" w:cs="Times New Roman"/>
              </w:rPr>
              <w:t>主要生产设备有：</w:t>
            </w:r>
            <w:r>
              <w:rPr>
                <w:rFonts w:hint="eastAsia" w:ascii="Times New Roman" w:hAnsi="Times New Roman" w:eastAsia="宋体" w:cs="Times New Roman"/>
                <w:lang w:val="en-US" w:eastAsia="zh-CN"/>
              </w:rPr>
              <w:t>连续加热炉、锻造压机、300T液</w:t>
            </w:r>
            <w:r>
              <w:rPr>
                <w:rFonts w:hint="eastAsia" w:ascii="Times New Roman" w:hAnsi="Times New Roman" w:eastAsia="宋体" w:cs="Times New Roman"/>
                <w:u w:val="single"/>
                <w:lang w:val="en-US" w:eastAsia="zh-CN"/>
              </w:rPr>
              <w:t>压推钢机、桥式双梁行车、铸造加热炉、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宋体" w:hAnsi="宋体" w:eastAsia="宋体" w:cs="Times New Roman"/>
                <w:szCs w:val="21"/>
                <w:u w:val="single"/>
                <w:lang w:val="en-US" w:eastAsia="zh-CN"/>
              </w:rPr>
              <w:t>300吨锻压机、加热炉、</w:t>
            </w:r>
            <w:r>
              <w:rPr>
                <w:rFonts w:hint="eastAsia"/>
                <w:color w:val="000000"/>
                <w:szCs w:val="22"/>
                <w:u w:val="single"/>
                <w:lang w:val="en-US" w:eastAsia="zh-CN"/>
              </w:rPr>
              <w:t>变压器等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52"/>
            </w:r>
            <w:r>
              <w:rPr>
                <w:rFonts w:hint="eastAsia"/>
                <w:lang w:val="en-US" w:eastAsia="zh-CN"/>
              </w:rPr>
              <w:t>加热炉</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电表、水表、天然气流量计、压力表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电表、水表由合作方负责安装和管理（检定），已与企业进行沟通，建议向供方获取检定或校准资料。天然气表</w:t>
            </w:r>
            <w:r>
              <w:rPr>
                <w:rFonts w:hint="eastAsia"/>
                <w:highlight w:val="none"/>
                <w:lang w:val="en-US" w:eastAsia="zh-CN"/>
              </w:rPr>
              <w:t>由燃气公司负责安装和校验，已提供检定报告</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w:t>
            </w:r>
            <w:bookmarkStart w:id="34" w:name="_GoBack"/>
            <w:bookmarkEnd w:id="34"/>
            <w:r>
              <w:rPr>
                <w:rFonts w:hint="eastAsia"/>
              </w:rPr>
              <w:t>，并评价措施的有效性；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u w:val="single"/>
                <w:lang w:val="en-US" w:eastAsia="zh-CN"/>
              </w:rPr>
              <w:t xml:space="preserve">   无</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eastAsia="宋体"/>
                      <w:lang w:val="en-US" w:eastAsia="zh-CN"/>
                    </w:rPr>
                    <w:t>加强天然去使用控制和考核，见制造部考核记录</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6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E92E4948"/>
    <w:multiLevelType w:val="singleLevel"/>
    <w:tmpl w:val="E92E4948"/>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EF6328"/>
    <w:rsid w:val="42397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2022-09-09T08:10:49Z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