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-259715</wp:posOffset>
            </wp:positionV>
            <wp:extent cx="6389370" cy="9667240"/>
            <wp:effectExtent l="0" t="0" r="11430" b="10160"/>
            <wp:wrapNone/>
            <wp:docPr id="7" name="图片 7" descr="80b5e6a71b6eee7e10f9a665f8a5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b5e6a71b6eee7e10f9a665f8a58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966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郑州日成图书有限公司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乔文帅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现场查看公司库房区域配备有灭火器，但被杂物挡住，不符合规定要求。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4.4.7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-538480</wp:posOffset>
            </wp:positionV>
            <wp:extent cx="6475095" cy="9730105"/>
            <wp:effectExtent l="0" t="0" r="1905" b="10795"/>
            <wp:wrapNone/>
            <wp:docPr id="6" name="图片 6" descr="5a3c986b1d22610942eb91e4906f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a3c986b1d22610942eb91e4906ff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973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现场查看公司库房区域配备有灭火器，但被杂物挡住，不符合规定要求。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立刻对库房进行现场整改，清理堆积杂物，使消防通道畅通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相关人员对</w:t>
            </w:r>
            <w:r>
              <w:rPr>
                <w:rFonts w:hint="eastAsia" w:ascii="楷体" w:hAnsi="楷体" w:eastAsia="楷体"/>
                <w:sz w:val="24"/>
              </w:rPr>
              <w:t>GB/T 28001-2011 idt OHSMS 18001:2007标准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4.4.7</w:t>
            </w:r>
            <w:r>
              <w:rPr>
                <w:rFonts w:hint="eastAsia" w:ascii="楷体" w:hAnsi="楷体" w:eastAsia="楷体"/>
                <w:sz w:val="24"/>
              </w:rPr>
              <w:t>条款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《应急准备和响应控制程序》</w:t>
            </w:r>
            <w:r>
              <w:rPr>
                <w:rFonts w:hint="eastAsia" w:ascii="楷体" w:hAnsi="楷体" w:eastAsia="楷体"/>
                <w:sz w:val="24"/>
              </w:rPr>
              <w:t>培训不到位，没有认识到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该问题的</w:t>
            </w:r>
            <w:r>
              <w:rPr>
                <w:rFonts w:hint="eastAsia" w:ascii="楷体" w:hAnsi="楷体" w:eastAsia="楷体"/>
                <w:sz w:val="24"/>
              </w:rPr>
              <w:t>重要性。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组织相关人员进行培训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预定完成日期：2019年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28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检查管理体系其他环节是否有类似事件发生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经检查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无类似不符合发生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纠正措施有效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黑体"/>
          <w:sz w:val="32"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rPr>
          <w:rFonts w:hint="eastAsia"/>
          <w:lang w:val="en-US" w:eastAsia="zh-CN"/>
        </w:rPr>
      </w:pPr>
      <w:bookmarkStart w:id="7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-150495</wp:posOffset>
            </wp:positionV>
            <wp:extent cx="6278245" cy="9422765"/>
            <wp:effectExtent l="0" t="0" r="8255" b="635"/>
            <wp:wrapNone/>
            <wp:docPr id="8" name="图片 8" descr="3074b59580eddd011cdf9b815d5b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74b59580eddd011cdf9b815d5b7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942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整改前：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9510" cy="4729480"/>
            <wp:effectExtent l="0" t="0" r="8890" b="7620"/>
            <wp:docPr id="2" name="图片 2" descr="c6f888898f30e88c5730e019e3a1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f888898f30e88c5730e019e3a156e"/>
                    <pic:cNvPicPr>
                      <a:picLocks noChangeAspect="1"/>
                    </pic:cNvPicPr>
                  </pic:nvPicPr>
                  <pic:blipFill>
                    <a:blip r:embed="rId9"/>
                    <a:srcRect t="15533" b="13096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7125" cy="3703320"/>
            <wp:effectExtent l="0" t="0" r="3175" b="5080"/>
            <wp:docPr id="3" name="图片 3" descr="c204f60a148daf2b7cf239b2e4f5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04f60a148daf2b7cf239b2e4f5c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整改后: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67810" cy="4361180"/>
            <wp:effectExtent l="0" t="0" r="8890" b="7620"/>
            <wp:docPr id="4" name="图片 4" descr="d01bdee13f2dbc0da16815e07a38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1bdee13f2dbc0da16815e07a38ab8"/>
                    <pic:cNvPicPr>
                      <a:picLocks noChangeAspect="1"/>
                    </pic:cNvPicPr>
                  </pic:nvPicPr>
                  <pic:blipFill>
                    <a:blip r:embed="rId11"/>
                    <a:srcRect l="-2408" t="19595" r="2408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eastAsia="方正仿宋简体"/>
          <w:b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79975" cy="3660140"/>
            <wp:effectExtent l="0" t="0" r="9525" b="10160"/>
            <wp:docPr id="5" name="图片 5" descr="c417258630bc7e92f36dacc8755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417258630bc7e92f36dacc875535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71389"/>
    <w:rsid w:val="0FDB3968"/>
    <w:rsid w:val="448476C7"/>
    <w:rsid w:val="6DE21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四号 行距: 1.5 倍行距 首行缩进:  2 字符1 + 首行缩进:  2 字符"/>
    <w:basedOn w:val="1"/>
    <w:qFormat/>
    <w:uiPriority w:val="0"/>
    <w:pPr>
      <w:spacing w:line="360" w:lineRule="auto"/>
      <w:ind w:firstLine="480" w:firstLineChars="200"/>
    </w:pPr>
    <w:rPr>
      <w:kern w:val="0"/>
      <w:sz w:val="28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2019-12-27T22:57:40Z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