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受审核部门：供销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陪同人员：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乔文帅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李俐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审核时间：2019.1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QMS:5.3组织的岗位、职责和权限、6.2质量目标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7.1.5监视和测量资源、8.2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和服务的要求、8.4外部提供过程、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和服务的控制、9.1.2顾客满意、8.1运行策划和控制、8.3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和服务的设计和开发、8.5.1销售和服务提供的控制、8.5.2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标识和可追朔性、8.5.3顾客或外部供方的财产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8.5.4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防护、8.5.6销售和服务提供的更改控制、8.6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和服务的放行、8.7不合格输出的控制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EMS: 5.3组织的岗位、职责和权限、6.1.2环境因素、6.2环境与职业健康安全目标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8.1运行策划和控制、8.2应急准备和响应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楷体" w:hAnsi="楷体" w:eastAsia="楷体" w:cs="Arial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OHSAS：4.4.1职责与权限、4.3.1危险源辨识与评价、4.4.6运行控制、4.4.7应急准备和响应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QE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 5.3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O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4.4.1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现场审核过程了解到部门主要负责：负责对图书批发、零售管理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市场调研与开发，招投标、商务谈判及合同评审、供方选择及能力评价与调查，顾客档案建立，售后服务及顾客满意度评价与分析，采购管理控制，本部门环境因素和危险源识别和控制，本部门目标制定与实施，与相关方做好沟通，对供方环境、职业健康安全因素等进行控制或施加影响等。</w:t>
            </w:r>
          </w:p>
          <w:p>
            <w:pPr>
              <w:spacing w:line="360" w:lineRule="auto"/>
              <w:rPr>
                <w:rFonts w:hint="default" w:ascii="华文楷体" w:hAnsi="华文楷体" w:eastAsia="华文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部门负责人比较了解本部门职责。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QE:6.2</w:t>
            </w: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提供上半年供销中心的质量、环境、职业健康安全目标分解及完成情况统计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4"/>
              <w:gridCol w:w="1680"/>
              <w:gridCol w:w="1580"/>
              <w:gridCol w:w="1270"/>
              <w:gridCol w:w="1300"/>
              <w:gridCol w:w="1360"/>
              <w:gridCol w:w="14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9" w:hRule="atLeast"/>
                <w:tblHeader/>
              </w:trPr>
              <w:tc>
                <w:tcPr>
                  <w:tcW w:w="814" w:type="dxa"/>
                  <w:vMerge w:val="restart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3260" w:type="dxa"/>
                  <w:gridSpan w:val="2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质量目标</w:t>
                  </w:r>
                </w:p>
              </w:tc>
              <w:tc>
                <w:tcPr>
                  <w:tcW w:w="2570" w:type="dxa"/>
                  <w:gridSpan w:val="2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职业健康安全目标</w:t>
                  </w:r>
                </w:p>
              </w:tc>
              <w:tc>
                <w:tcPr>
                  <w:tcW w:w="2800" w:type="dxa"/>
                  <w:gridSpan w:val="2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环境目标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50" w:hRule="atLeast"/>
                <w:tblHeader/>
              </w:trPr>
              <w:tc>
                <w:tcPr>
                  <w:tcW w:w="814" w:type="dxa"/>
                  <w:vMerge w:val="continue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168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58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完成情况</w:t>
                  </w:r>
                </w:p>
              </w:tc>
              <w:tc>
                <w:tcPr>
                  <w:tcW w:w="127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30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完成情况</w:t>
                  </w:r>
                </w:p>
              </w:tc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指标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690" w:hRule="atLeast"/>
              </w:trPr>
              <w:tc>
                <w:tcPr>
                  <w:tcW w:w="81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供销中心</w:t>
                  </w:r>
                </w:p>
              </w:tc>
              <w:tc>
                <w:tcPr>
                  <w:tcW w:w="1680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无重大顾客投诉；</w:t>
                  </w:r>
                </w:p>
                <w:p>
                  <w:pPr>
                    <w:spacing w:line="400" w:lineRule="exact"/>
                    <w:rPr>
                      <w:rFonts w:hint="eastAsia" w:ascii="宋体" w:hAnsi="宋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顾客满意度达到92%；</w:t>
                  </w:r>
                </w:p>
                <w:p>
                  <w:pPr>
                    <w:spacing w:line="400" w:lineRule="exac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顾客意见处理率100%</w:t>
                  </w:r>
                </w:p>
              </w:tc>
              <w:tc>
                <w:tcPr>
                  <w:tcW w:w="1580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无发生顾客投诉。</w:t>
                  </w:r>
                </w:p>
                <w:p>
                  <w:pPr>
                    <w:spacing w:line="400" w:lineRule="exac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顾客满意度96%；</w:t>
                  </w:r>
                </w:p>
                <w:p>
                  <w:pPr>
                    <w:spacing w:line="400" w:lineRule="exac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顾客意见处理率100%。</w:t>
                  </w:r>
                </w:p>
              </w:tc>
              <w:tc>
                <w:tcPr>
                  <w:tcW w:w="1270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无工伤事故</w:t>
                  </w:r>
                </w:p>
              </w:tc>
              <w:tc>
                <w:tcPr>
                  <w:tcW w:w="130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无工伤事故</w:t>
                  </w:r>
                </w:p>
              </w:tc>
              <w:tc>
                <w:tcPr>
                  <w:tcW w:w="1360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无火灾等环境事故</w:t>
                  </w:r>
                </w:p>
              </w:tc>
              <w:tc>
                <w:tcPr>
                  <w:tcW w:w="1440" w:type="dxa"/>
                  <w:noWrap w:val="0"/>
                  <w:vAlign w:val="center"/>
                </w:tcPr>
                <w:p>
                  <w:pPr>
                    <w:spacing w:line="400" w:lineRule="exac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没有发生火灾</w:t>
                  </w:r>
                </w:p>
              </w:tc>
            </w:tr>
          </w:tbl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编制：  办公室   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年6月30日      审批：梁艳丽       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年6月30日</w:t>
            </w:r>
          </w:p>
          <w:p>
            <w:pPr>
              <w:pStyle w:val="2"/>
              <w:ind w:left="0" w:leftChars="0" w:firstLine="0" w:firstLineChars="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经考核已完成。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监视和测量资源不适用确认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-6" w:rightChars="-3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本公司是根据相关国家和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图书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行业标准按固有销售模式从事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销售，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检验采取外观检验的方式进行，标准条款7.1.5监视和测量资源对公司不适用，为此，根据ISO9001：2015的要求，对标准条款7.1.5予以删除。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pStyle w:val="14"/>
              <w:spacing w:line="360" w:lineRule="auto"/>
              <w:ind w:left="0" w:leftChars="0" w:firstLine="0" w:firstLineChars="0"/>
              <w:jc w:val="left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 w:cs="楷体"/>
                <w:kern w:val="0"/>
                <w:szCs w:val="24"/>
              </w:rPr>
              <w:t>的实现过程策划主要由总经理和供销</w:t>
            </w:r>
            <w:r>
              <w:rPr>
                <w:rFonts w:hint="eastAsia" w:ascii="楷体" w:hAnsi="楷体" w:eastAsia="楷体" w:cs="楷体"/>
                <w:kern w:val="0"/>
                <w:szCs w:val="24"/>
                <w:lang w:val="en-US" w:eastAsia="zh-CN"/>
              </w:rPr>
              <w:t>中心</w:t>
            </w:r>
            <w:r>
              <w:rPr>
                <w:rFonts w:hint="eastAsia" w:ascii="楷体" w:hAnsi="楷体" w:eastAsia="楷体" w:cs="楷体"/>
                <w:kern w:val="0"/>
                <w:szCs w:val="24"/>
              </w:rPr>
              <w:t>负责人负责完成，过程策划包含</w:t>
            </w:r>
            <w:r>
              <w:rPr>
                <w:rFonts w:hint="eastAsia" w:ascii="楷体" w:hAnsi="楷体" w:eastAsia="楷体" w:cs="楷体"/>
                <w:szCs w:val="24"/>
              </w:rPr>
              <w:t>了国内出版物批发、零售所需要达到的质量目标和要求。</w:t>
            </w:r>
          </w:p>
          <w:p>
            <w:pPr>
              <w:pStyle w:val="14"/>
              <w:spacing w:line="360" w:lineRule="auto"/>
              <w:ind w:left="0" w:leftChars="0" w:firstLine="0" w:firstLineChars="0"/>
              <w:jc w:val="left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执行标准《出版物市场管理规定》</w:t>
            </w:r>
            <w:r>
              <w:rPr>
                <w:rFonts w:hint="eastAsia" w:ascii="楷体" w:hAnsi="楷体" w:eastAsia="楷体" w:cs="楷体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Cs w:val="24"/>
              </w:rPr>
              <w:t>《出版管理条例》</w:t>
            </w:r>
            <w:r>
              <w:rPr>
                <w:rFonts w:hint="eastAsia" w:ascii="楷体" w:hAnsi="楷体" w:eastAsia="楷体" w:cs="楷体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Cs w:val="24"/>
              </w:rPr>
              <w:t>（CY/T  2-1999）《印刷</w:t>
            </w:r>
            <w:r>
              <w:rPr>
                <w:rFonts w:hint="eastAsia" w:ascii="楷体" w:hAnsi="楷体" w:eastAsia="楷体" w:cs="楷体"/>
                <w:kern w:val="0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kern w:val="0"/>
                <w:szCs w:val="24"/>
              </w:rPr>
              <w:t>质量评价和分等导则》等。</w:t>
            </w:r>
          </w:p>
          <w:p>
            <w:pPr>
              <w:pStyle w:val="14"/>
              <w:spacing w:line="360" w:lineRule="auto"/>
              <w:ind w:left="420"/>
              <w:jc w:val="left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编制了相应的过程文件：</w:t>
            </w:r>
          </w:p>
          <w:p>
            <w:pPr>
              <w:pStyle w:val="14"/>
              <w:spacing w:line="360" w:lineRule="auto"/>
              <w:ind w:left="0"/>
              <w:jc w:val="left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（1）编制了销售服务流程：招投标/业务洽谈 → 合同评审 → 采购 → 进货检验 → 交付；</w:t>
            </w:r>
          </w:p>
          <w:p>
            <w:pPr>
              <w:pStyle w:val="14"/>
              <w:spacing w:line="360" w:lineRule="auto"/>
              <w:ind w:left="0"/>
              <w:jc w:val="left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（2）制定了作业指导书</w:t>
            </w:r>
            <w:r>
              <w:rPr>
                <w:rFonts w:hint="eastAsia" w:ascii="楷体" w:hAnsi="楷体" w:eastAsia="楷体" w:cs="楷体"/>
                <w:szCs w:val="24"/>
              </w:rPr>
              <w:t>《</w:t>
            </w:r>
            <w:r>
              <w:rPr>
                <w:rFonts w:hint="eastAsia" w:ascii="楷体" w:hAnsi="楷体" w:eastAsia="楷体" w:cs="楷体"/>
                <w:kern w:val="0"/>
                <w:szCs w:val="24"/>
              </w:rPr>
              <w:t>营销服务提供规范》、《营销服务质量的控制规范》、《售后服务规定》、《售后服务人员服务规范》；</w:t>
            </w:r>
          </w:p>
          <w:p>
            <w:pPr>
              <w:pStyle w:val="14"/>
              <w:spacing w:line="360" w:lineRule="auto"/>
              <w:ind w:left="0"/>
              <w:jc w:val="left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（3）规定了</w:t>
            </w:r>
            <w:r>
              <w:rPr>
                <w:rFonts w:hint="eastAsia" w:ascii="楷体" w:hAnsi="楷体" w:eastAsia="楷体" w:cs="楷体"/>
                <w:kern w:val="0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kern w:val="0"/>
                <w:szCs w:val="24"/>
              </w:rPr>
              <w:t>的检验验收准则，并制定了相应的检验规范；</w:t>
            </w:r>
            <w:r>
              <w:rPr>
                <w:rFonts w:hint="eastAsia" w:ascii="楷体" w:hAnsi="楷体" w:eastAsia="楷体" w:cs="楷体"/>
                <w:szCs w:val="24"/>
              </w:rPr>
              <w:t>《采购物资检验规范》、《营销服务质量的控制规范》；</w:t>
            </w:r>
          </w:p>
          <w:p>
            <w:pPr>
              <w:pStyle w:val="14"/>
              <w:spacing w:line="360" w:lineRule="auto"/>
              <w:ind w:left="0"/>
              <w:jc w:val="left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（4）现场对销售各过程填写有</w:t>
            </w:r>
            <w:r>
              <w:rPr>
                <w:rFonts w:hint="eastAsia" w:ascii="楷体" w:hAnsi="楷体" w:eastAsia="楷体" w:cs="楷体"/>
                <w:kern w:val="0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kern w:val="0"/>
                <w:szCs w:val="24"/>
              </w:rPr>
              <w:t>检验记录、营销人员工作监督表、不合格品处置单、发货单等各种监视和测量记录；</w:t>
            </w:r>
          </w:p>
          <w:p>
            <w:pPr>
              <w:pStyle w:val="14"/>
              <w:spacing w:line="360" w:lineRule="auto"/>
              <w:ind w:left="0"/>
              <w:jc w:val="left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（5）资源的提供（包括场所、人力、物力、设备设施等）。</w:t>
            </w:r>
          </w:p>
          <w:p>
            <w:pPr>
              <w:pStyle w:val="14"/>
              <w:spacing w:line="360" w:lineRule="auto"/>
              <w:ind w:left="0" w:firstLine="480" w:firstLineChars="200"/>
              <w:jc w:val="left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组织对外包过程的控制详见8.4审核记录，到目前为止，组织运行没有变更，问其有关要求，基本了解。</w:t>
            </w:r>
          </w:p>
          <w:p>
            <w:pPr>
              <w:pStyle w:val="14"/>
              <w:spacing w:line="360" w:lineRule="auto"/>
              <w:ind w:left="420"/>
              <w:jc w:val="left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该公司销售服务提供过程策划符合要求。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和服务的设计和开发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不适用确认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Q8.3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公司只负责按常规销售模式进行国内出版物批发、零售，不需要再设计开发，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因此将ISO9001：2015标准“8.3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和服务的设计和开发”的要求确认为不适用，该不适用不影响组织确保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和服务合格以及增强顾客满意的能力或责任。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和服务的要求</w:t>
            </w:r>
          </w:p>
        </w:tc>
        <w:tc>
          <w:tcPr>
            <w:tcW w:w="13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Q:8.2 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负责人介绍沟通方式：主要是电话、资料传递、招投标会、交流会等形式宣传本公司有关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及公司的有关信誉等。针对合同洽谈、签订、履行过程中的问题，及时电话联系，明确各自的要求，执行合同。目前沟通效果良好。</w:t>
            </w:r>
          </w:p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公司主要通过招标、市场调查、客户的走访、交流会等了解市场的需求状态。主要以招标文件、订单、合同、电话等形式确定与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有关的要求，均已保存或进行相应的记录。</w:t>
            </w:r>
          </w:p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对顾客的要求由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内勤直接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通过招标网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对顾客要求进行识别、确认，对于存在的问题直接提出和顾客进行交流沟通。企业对招标文件要求（即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要求）进行识别确认，由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经理组织人员评审，经评审能满足要求后组织进行投标，并交纳保证金，投标是承诺可以满足顾客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要求的标志，中标后顾客发放中标通知书和采购合同，合同内的要求与招标文件内的要求一致，合同由总经理或其授权人签字并加盖企业公章，视同已经过合同评审，然后回传给顾客，以作为可以满足顾客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要求的承诺的证据。</w:t>
            </w:r>
          </w:p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抽1）2019.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日《招投标文件评审记录》，包括了如下内容：顾客名称：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郑州大学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，项目名称：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郑州大学图书馆2019年度图书采购、编目、项目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，在招投标文件中明确了质量、价格、交货期、数量、服务、付款方式等要求，开标日期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评审内容：合同条款是否符合有关法律法规 、履行合同时企业的利益和风险如何、合同条款是否有含糊不清之处、技术、供应、生产等能否满足需要有无特殊要求 、交货期限能否满足、交货方式是否合适、价格是否合理、付款期限是否适当 、有无质量保证要求等，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评审人员：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黄亚迪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乔文帅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张永艳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等。</w:t>
            </w:r>
          </w:p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2）抽该公司2019.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.22日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华北水利水电大学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的《招投标文件评审记录》，项目名称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华北水利水电大学中文图书采购及编目、加工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。开标日期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，评审内容：合同条款是否符合有关法律法规 、履行合同时企业的利益和风险如何、合同条款是否有含糊不清之处、技术、供应、生产等能否满足需要有无特殊要求 、交货期限能否满足、交货方式是否合适、价格是否合理、付款期限是否适当 、有无质量保证要求等，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评审人员：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黄亚迪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乔文帅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张永艳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等。</w:t>
            </w:r>
          </w:p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3）抽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2019.6.1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河南工程学院图书馆2019年度纸质图书采购项目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的《招投标文件评审记录》；开标日期2019.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，评审内容：合同条款是否符合有关法律法规 、履行合同时企业的利益和风险如何、合同条款是否有含糊不清之处、技术、供应、生产等能否满足需要有无特殊要求 、交货期限能否满足、交货方式是否合适、价格是否合理、付款期限是否适当 、有无质量保证要求等，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评审人员：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黄亚迪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乔文帅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张永艳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批准：梁艳丽。</w:t>
            </w:r>
          </w:p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评审基本同上，以上评审均在开标和签订正式合同之前进行。</w:t>
            </w:r>
          </w:p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经理介绍：目前尚未发生合同更改的情况，询问对更改情况的控制较为明确清楚。 </w:t>
            </w:r>
          </w:p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154305</wp:posOffset>
                  </wp:positionV>
                  <wp:extent cx="1811655" cy="2486660"/>
                  <wp:effectExtent l="0" t="0" r="4445" b="2540"/>
                  <wp:wrapNone/>
                  <wp:docPr id="5" name="图片 5" descr="89f31a6736662ac36bf98a323613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9f31a6736662ac36bf98a3236133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655" cy="248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195580</wp:posOffset>
                  </wp:positionV>
                  <wp:extent cx="1842135" cy="2546985"/>
                  <wp:effectExtent l="0" t="0" r="12065" b="5715"/>
                  <wp:wrapNone/>
                  <wp:docPr id="4" name="图片 4" descr="70e126854845cac51f77aa8cca193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0e126854845cac51f77aa8cca193f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254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要求的评审基本符合标准要求。</w:t>
            </w:r>
          </w:p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提供2019.10.1武大出版传</w:t>
            </w:r>
          </w:p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媒股份公司签订的《购销合同》，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提供《中标通知书》，</w:t>
            </w: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4267200</wp:posOffset>
                  </wp:positionH>
                  <wp:positionV relativeFrom="paragraph">
                    <wp:posOffset>77470</wp:posOffset>
                  </wp:positionV>
                  <wp:extent cx="1945640" cy="2698750"/>
                  <wp:effectExtent l="0" t="0" r="10160" b="6350"/>
                  <wp:wrapNone/>
                  <wp:docPr id="10" name="图片 10" descr="a9849bf1c8b35f2860341b6aae42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9849bf1c8b35f2860341b6aae42a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269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80010</wp:posOffset>
                  </wp:positionV>
                  <wp:extent cx="2016760" cy="2882900"/>
                  <wp:effectExtent l="0" t="0" r="2540" b="0"/>
                  <wp:wrapNone/>
                  <wp:docPr id="9" name="图片 9" descr="a0771a4c4da9164a5aa3cf658753d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0771a4c4da9164a5aa3cf658753d4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288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109220</wp:posOffset>
                  </wp:positionV>
                  <wp:extent cx="2027555" cy="2935605"/>
                  <wp:effectExtent l="0" t="0" r="4445" b="10795"/>
                  <wp:wrapNone/>
                  <wp:docPr id="8" name="图片 8" descr="ed0723f7db496fc5d0cfdfb71b09f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d0723f7db496fc5d0cfdfb71b09f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293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外部提供过程、</w:t>
            </w:r>
            <w:r>
              <w:rPr>
                <w:rFonts w:hint="eastAsia" w:ascii="楷体" w:hAnsi="楷体" w:eastAsia="楷体" w:cs="Arial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 w:cs="Arial"/>
                <w:szCs w:val="24"/>
              </w:rPr>
              <w:t>和服务的控制</w:t>
            </w:r>
          </w:p>
        </w:tc>
        <w:tc>
          <w:tcPr>
            <w:tcW w:w="1311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240" w:firstLineChars="1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Q8.4 </w:t>
            </w:r>
          </w:p>
        </w:tc>
        <w:tc>
          <w:tcPr>
            <w:tcW w:w="10004" w:type="dxa"/>
          </w:tcPr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保持《外部提供过程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服务控制程序》，程序规定了采购物资分类、供方评价与管理状况、采购信息、采购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验证等内容。对采购的物资进行分类，并依据重要程度分别予以控制。</w:t>
            </w:r>
          </w:p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提供了《合格供方评价标准》，评价内容包含管理体系、质量安全环境要求、交货期、人员、设备、现场、生产能力、资质、价格、服务等，分数比例5-10分不等，各分项有相应的评分标准。</w:t>
            </w:r>
          </w:p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提供了《合格供方名录》，收录清华大学出版社有限公司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北京大学出版社有限公司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化学工业出版社发行部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北京工业大学出版社、北京航空航天大学出版社有限公司、北京理工大学出版社有限责任公、北京旅游教育出版社有限责任公司、北京师范大学出版社(集团)有限公司、北京世纪文景文化传播公司、北京体育大学出版社、北京邮电大学出版社、北岳文艺出版社、成都西南交大出版社有限公、大家出版传媒(大连)股份有限公司、大连理工大学出版社有限公司、东方出版中心有限公司、复且大学出版社有限公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个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出版社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，有供方名称，供应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、列入日期、联系人、联系电话、供方详细地址等信息。</w:t>
            </w:r>
          </w:p>
          <w:p>
            <w:pPr>
              <w:tabs>
                <w:tab w:val="left" w:pos="111"/>
              </w:tabs>
              <w:autoSpaceDE w:val="0"/>
              <w:autoSpaceDN w:val="0"/>
              <w:adjustRightInd w:val="0"/>
              <w:spacing w:line="360" w:lineRule="auto"/>
              <w:ind w:right="56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查见《供方评价表》，有供方名称、评价项目及得分、评价结果等内容，录有：山清华大学出版社有限公司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北京大学出版社有限公司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化学工业出版社发行部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北京工业大学出版社、北京航空航天大学出版社有限公司、北京理工大学出版社有限责任公、北京旅游教育出版社有限责任公司、北京师范大学出版社(集团)有限公司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等供方和外包方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206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个，评价人：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黄亚迪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李倩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乔文帅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bCs/>
                <w:sz w:val="24"/>
                <w:szCs w:val="24"/>
                <w:lang w:val="en-US" w:eastAsia="zh-CN"/>
              </w:rPr>
              <w:t>张永艳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，批准：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梁艳丽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，日期：2019.5.15日。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组织在对供方进行选择和评价时，收集了企业的相关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目录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、合格证等，对于供方的相关资质，应保持更新，但对供方评价应充分考虑环境及职业健康安全方面的要求，与负责人进行了沟通。</w:t>
            </w: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供销经理介绍，根据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招标要求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需要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通过网络向供应商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提报采购申请，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订单生成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后由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组织实施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委托运输公司发公司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。在实施采购前公司与供方进行沟通后编制采购文件，注明名称、数量、要求、交付期等内容，列入采购计划组织实施。</w:t>
            </w: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按中标要求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采购计划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采购计划，均经过审批。</w:t>
            </w: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-271145</wp:posOffset>
                  </wp:positionV>
                  <wp:extent cx="2005965" cy="3103880"/>
                  <wp:effectExtent l="0" t="0" r="7620" b="635"/>
                  <wp:wrapNone/>
                  <wp:docPr id="2" name="图片 2" descr="fe367e48e36d89d661be2d0aebd8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e367e48e36d89d661be2d0aebd8df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05965" cy="310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3709670</wp:posOffset>
                  </wp:positionH>
                  <wp:positionV relativeFrom="paragraph">
                    <wp:posOffset>-291465</wp:posOffset>
                  </wp:positionV>
                  <wp:extent cx="1950720" cy="3061335"/>
                  <wp:effectExtent l="0" t="0" r="12065" b="5080"/>
                  <wp:wrapNone/>
                  <wp:docPr id="12" name="图片 12" descr="9eb6569fc7870a325bd577a961489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eb6569fc7870a325bd577a961489d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50720" cy="306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抽 2019.11.27与机械工业出版社的业务清单</w:t>
            </w: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33020</wp:posOffset>
                  </wp:positionV>
                  <wp:extent cx="2404110" cy="2839720"/>
                  <wp:effectExtent l="0" t="0" r="8890" b="5080"/>
                  <wp:wrapNone/>
                  <wp:docPr id="3" name="图片 3" descr="5c081239f35064ea4e03143e7354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c081239f35064ea4e03143e73547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110" cy="283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8890</wp:posOffset>
                  </wp:positionV>
                  <wp:extent cx="2503170" cy="2944495"/>
                  <wp:effectExtent l="0" t="0" r="11430" b="1905"/>
                  <wp:wrapNone/>
                  <wp:docPr id="11" name="图片 11" descr="fca2cc71ccd1cd699f7af753ee25e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ca2cc71ccd1cd699f7af753ee25e9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294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256540</wp:posOffset>
                  </wp:positionV>
                  <wp:extent cx="1884680" cy="2503170"/>
                  <wp:effectExtent l="0" t="0" r="7620" b="11430"/>
                  <wp:wrapNone/>
                  <wp:docPr id="14" name="图片 14" descr="66cc6e0c2ba8cfbe72cd04b6bd897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6cc6e0c2ba8cfbe72cd04b6bd8971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250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290195</wp:posOffset>
                  </wp:positionV>
                  <wp:extent cx="1776095" cy="2522220"/>
                  <wp:effectExtent l="0" t="0" r="1905" b="5080"/>
                  <wp:wrapNone/>
                  <wp:docPr id="13" name="图片 13" descr="f2cd3e4e6f644ae7f2c0b4fd7319d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2cd3e4e6f644ae7f2c0b4fd7319df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95" cy="252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提供按中标要求采购的中国科技出版传媒股份公司的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0日《采购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装箱单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》，</w:t>
            </w: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3877310</wp:posOffset>
                  </wp:positionH>
                  <wp:positionV relativeFrom="paragraph">
                    <wp:posOffset>409575</wp:posOffset>
                  </wp:positionV>
                  <wp:extent cx="2456180" cy="1714500"/>
                  <wp:effectExtent l="0" t="0" r="0" b="7620"/>
                  <wp:wrapNone/>
                  <wp:docPr id="6" name="图片 6" descr="fbb68e13a0fe7626da10a889b0ac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bb68e13a0fe7626da10a889b0ac17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r="358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5618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4279900</wp:posOffset>
                  </wp:positionH>
                  <wp:positionV relativeFrom="paragraph">
                    <wp:posOffset>240030</wp:posOffset>
                  </wp:positionV>
                  <wp:extent cx="1715135" cy="2527935"/>
                  <wp:effectExtent l="0" t="0" r="12065" b="12065"/>
                  <wp:wrapNone/>
                  <wp:docPr id="7" name="图片 7" descr="bb000d5cd13452759bf34a088ef7f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b000d5cd13452759bf34a088ef7f9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35" cy="252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提供给外部供方的信息表述清晰、</w:t>
            </w: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充分并经过了批准，能涵盖公司认证范围等的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提供2018.3.22于</w:t>
            </w:r>
          </w:p>
          <w:p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郑州万宇物流运输有限公司签订的《运输协议》。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采购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验证通常采取查验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外观、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合格证的方式，具体详见8.6工作单。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销售和服务提供的控制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Q：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8.5.1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公司编制并执行《营销服务提供规范》、《营销服务人员服务规范》、《营销服务质量的控制规范》等。</w:t>
            </w:r>
          </w:p>
          <w:p>
            <w:pPr>
              <w:spacing w:line="360" w:lineRule="auto"/>
              <w:ind w:right="-6" w:rightChars="-3"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现场查看营销工作情况：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1.以上文件规定了服务提供特性和验收标准，合同的洽商、评定和签订，售后服务保证，客户投诉的处置以及销售人员的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知识业务能力的要求。文件可以指导销售过程的进行。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2.资源配置齐备，设施设备可以满足要求。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3.现场查看销售合同都进行了评审、加盖了公司公章，参见8.2工作单。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4.现场提供有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检验记录表、发货单、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合格证，参见8.6工作单。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5.管理人员以及业务员、质检员、库管员都经过了培训，能力满足要求，无特种作业人员。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6.公司将销售过程定为需要确认的过程。查有《特殊过程确认记录表》，2019.5.1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日对销售过程的人员、销售文件、销售过程确认、过程确认结论等方面进行了过程确认，结论：可以满足过程能力的需求、提供合格的服务。确认人员：</w:t>
            </w:r>
            <w:r>
              <w:rPr>
                <w:rFonts w:hint="eastAsia"/>
                <w:bCs/>
                <w:sz w:val="24"/>
              </w:rPr>
              <w:t>黄亚迪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制定了销售管理制度、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搬运管理制度、仓库管理制度等，规定了操作的步骤、方法、注意事项等，操作人员直接按要求进行控制，防止人为错误。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所有的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都必须经检验合格后方可交付。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质检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负责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的检验和放行，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经过检验合格后方可放行和交付，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负责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交付和交付后活动的实施，并负责联系售后服务。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发货前由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开具发货单，库管员依据发货单发货，随货同行有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合格证，公司负责联系货运交付到指定地点，经查出库、交付手续齐全。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售后服务由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业务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员按照售后服务规范执行，去客户现场培训和演示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编目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的使用方法和注意事项。</w:t>
            </w:r>
          </w:p>
          <w:p>
            <w:pPr>
              <w:spacing w:line="360" w:lineRule="auto"/>
              <w:ind w:right="-6" w:rightChars="-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9. 现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场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胡琳娜等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正在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为编号：漯采公开采购-2019-126，漯河医学高等专科学校中文图书项目制作标书，数量1.3万册，医药卫生专业书籍、数量1万册自然科学类图书、数量约7000册社会科学类图书等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pStyle w:val="14"/>
              <w:spacing w:line="360" w:lineRule="auto"/>
              <w:ind w:right="-6" w:rightChars="-3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组织销售服务过程的控制符合标准规定的要求。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标识和可追朔性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Q8.5.2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在《管理手册》中规定公司向顾客提供商品时采取适当措施，确保商品进入公司到销售过程中均被明确标识，包括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名称、种类、规格等信息及销售记录和票据等追溯查阅信息。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通常保留厂家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发货单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、合格证等方式对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进行标识，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附有“合格证”有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名称、型号、日期、质检人员代号等信息。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外包装上有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名称、规格型号、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印刷公司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、数量等，可作为追溯性标识。发货时库管员核对标签无误后再交付。根据采购单、订单编号等进行追溯。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经现场查验标识齐全、清晰、正确，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标识管理基本符合标准要求，并满足实际需要。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防护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Q8.5.4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企业对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搬运、包装、贮存、运输以及交付等过程的防护实施控制：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配置适宜的搬运工具，采用合理的搬运方法，搬运人员按要求执行，做好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防护，防止丢失和损坏。包装人员核对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合格证，保持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外观清洁、完整，按装箱单核对装箱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，包装后进行正确标识。用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外包装纸裹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紧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扎牢，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避免破损，对运输供方进行合格评定，签订运输合同，保证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运输质量，并对运输质量进行记录，跟踪监督。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公司自体系运行以来，未发生由于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防护不当导致</w:t>
            </w:r>
            <w:r>
              <w:rPr>
                <w:rFonts w:hint="eastAsia" w:ascii="楷体" w:hAnsi="楷体" w:eastAsia="楷体" w:cs="宋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退回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的情况，防护措施能够满足要求。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现场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防护能够按照策划的要求实施，满足策划的要求。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更改的控制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</w:t>
            </w:r>
            <w:r>
              <w:rPr>
                <w:rFonts w:ascii="楷体" w:hAnsi="楷体" w:eastAsia="楷体"/>
                <w:sz w:val="24"/>
                <w:szCs w:val="24"/>
              </w:rPr>
              <w:t>8.5.6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left="105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360" w:firstLineChars="1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据销售负责人介绍目前顾客、供方比较稳定，有关的法律法规没有发生变化，公司业务比较固定，所以销售和服务的提供没有发生过更改，现场也没有发现变更情况，问其有关的要求，比较熟悉。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客户满意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 xml:space="preserve">Q9.1.2 </w:t>
            </w:r>
          </w:p>
        </w:tc>
        <w:tc>
          <w:tcPr>
            <w:tcW w:w="10004" w:type="dxa"/>
          </w:tcPr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提供《顾客满意程度调查表》，调查包含：企业主要通过开展顾客满意度调查来收集并了解顾客满意的信息，查见顾客满意程度调查表。调查表从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采访书目、图书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质量、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图书发货包装、随书配送的编目数据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、售后服务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到书率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等方面对顾客满意度进行了调查，统计结果表明顾客满意综合率为96%，达到了公司质量目标。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企业对顾客满意度调查样本量较低，调查数据的全面性、客观性等有待进一步改善，顾客建议的跟踪处理反馈等方面有待进一步改善。</w:t>
            </w:r>
          </w:p>
          <w:p>
            <w:pPr>
              <w:tabs>
                <w:tab w:val="left" w:pos="6597"/>
              </w:tabs>
              <w:spacing w:line="36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企业对顾客满意度的调查、分析利用进行了策划并实施，基本符合标准条款的要求。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环境因素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6.1.2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O4.3.1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按照《环境因素识别与评价控制程序》、《危险源辩识风险评价控制程序》对办公过程和销售服务过程的环境因素、危险源进行了辨识，辨识时考虑了三种时态：过去、现在和将来，和三种状态：正常、异常和紧急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查“环境因素识别评价汇总表”，识别了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在办公、采购、销售、相关方等各有关过程的环境因素，包括办公纸张消耗、办公固废排放、车辆尾气排放、废包装物排放、火灾事故的发生等环境因素，识别时能考虑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生命周期观点。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查《重要环境因素清单》，涉及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有2项重要环境因素，包括：火灾、固体废弃物的排放。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控制措施：固废分类存放、垃圾等由办公室负责按规定处置，包装物分类卖掉，日常检查、培训教育，配备有消防器材、进行应急演练等措施。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查“危险源识别及风险评价表”，识别了办公设备辐射、办公设备漏电、采购及销售过程中的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有毒有害、运输汽车事故、火灾等危险源。</w:t>
            </w:r>
          </w:p>
          <w:p>
            <w:pPr>
              <w:spacing w:line="360" w:lineRule="auto"/>
              <w:ind w:firstLine="46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查《不可接受风险清单》，涉及本部门的有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个不可接受风险，包括：触电、火灾。</w:t>
            </w:r>
          </w:p>
          <w:p>
            <w:pPr>
              <w:spacing w:line="360" w:lineRule="auto"/>
              <w:ind w:firstLine="46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部门识别和评价基本充分，符合规定要求，运行控制参见运行控制条款审核记录。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809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O4.4.6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E:8.1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O4.4.6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1.编制并实施《固体废弃物控制程序》、《环境保护管理办法》、《相关方管理程序》、《消防安全管理程序》、《劳保、消防用品管理办法》、《职工安全守则》、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《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火灾应急响应规范》等环境、职业健康安全控制程序和管理制度。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2.公司通过各地招标或业务洽谈进行销售，流程是招投标/业务洽谈→合同评审→组织货源→销售→售后。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3.公司目前销售的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主要是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：国内出版物批发、零售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全部由厂家提供，均有合格证和使用说明以及检验报告。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4.本部门办公中所使用的办公用品均由公司办公室负责统一打印、复印，产生的废弃物，由办公室统一处理。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5.对可回收的固体废弃物，一部分由厂家回收，厂家不回收的公司统一回收再利用或由物资回收公司处理，不可回收的废弃物由公司办公室统一处理，部门不单独处理。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6.建立并实施了《相关方管理程序》，</w:t>
            </w:r>
          </w:p>
          <w:p>
            <w:pPr>
              <w:snapToGrid w:val="0"/>
              <w:spacing w:line="360" w:lineRule="auto"/>
              <w:ind w:firstLine="4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提供《对相关方施加影响记录表》，2019.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日对所有采购物资相关方施加影响，内容:将公司的环境/职业健康安全方针、重要环境因素/危险源等，通过传真发函的方式通知对方，记录人黄亚迪 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供销中心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向供应商发放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黄亚迪签署的《告知书》，显示的内容中包括本公司采购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的造成的环境影响或可能造成的影响，对使用该种物料的员工的要求，供应商在运输这些物料所使用的贮存容器、运输方式对环境和职业健康的影响，到本公司减速慢行、运输路上每4个小时休息1次等。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8．在装卸车时，要求装运人员必须穿戴劳动防护用品，合理使用搬运工具。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9.对外招投标和业务洽谈时明确承诺公司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图书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环保、无毒无害。</w:t>
            </w:r>
          </w:p>
          <w:p>
            <w:pPr>
              <w:spacing w:line="360" w:lineRule="auto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部门运行控制在运输外包方管理方面还需加强。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Arial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8.2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218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O4.4.7 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制定实施了《应急准备和响应控制程序》，制定了火灾、触电、人员伤亡应急预案。内容包括：目的、适用范围、职责、应急处理细则、演习、必备资料等。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日参加了由办公室组织的火灾应急预案演练。</w:t>
            </w:r>
          </w:p>
          <w:p>
            <w:pPr>
              <w:spacing w:line="360" w:lineRule="auto"/>
              <w:ind w:firstLine="360" w:firstLineChars="15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自体系运行以来未发生紧急情况。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214B6"/>
    <w:rsid w:val="0002531E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6CD3"/>
    <w:rsid w:val="00082216"/>
    <w:rsid w:val="00082398"/>
    <w:rsid w:val="000828F8"/>
    <w:rsid w:val="000849D2"/>
    <w:rsid w:val="000A5E44"/>
    <w:rsid w:val="000A7044"/>
    <w:rsid w:val="000B0541"/>
    <w:rsid w:val="000B1394"/>
    <w:rsid w:val="000B2E9C"/>
    <w:rsid w:val="000B40BD"/>
    <w:rsid w:val="000C123B"/>
    <w:rsid w:val="000C408E"/>
    <w:rsid w:val="000D5401"/>
    <w:rsid w:val="000D5976"/>
    <w:rsid w:val="000D697A"/>
    <w:rsid w:val="000D7F6A"/>
    <w:rsid w:val="000E2B69"/>
    <w:rsid w:val="000E2FCD"/>
    <w:rsid w:val="000E7848"/>
    <w:rsid w:val="000E7EF7"/>
    <w:rsid w:val="000F35F1"/>
    <w:rsid w:val="000F588F"/>
    <w:rsid w:val="000F7D53"/>
    <w:rsid w:val="00101F08"/>
    <w:rsid w:val="001022F1"/>
    <w:rsid w:val="001037D5"/>
    <w:rsid w:val="00112EBF"/>
    <w:rsid w:val="00117BB9"/>
    <w:rsid w:val="00145688"/>
    <w:rsid w:val="00150852"/>
    <w:rsid w:val="0015334D"/>
    <w:rsid w:val="00161106"/>
    <w:rsid w:val="001677C1"/>
    <w:rsid w:val="00172654"/>
    <w:rsid w:val="001737D0"/>
    <w:rsid w:val="00173DEB"/>
    <w:rsid w:val="001904A8"/>
    <w:rsid w:val="001918ED"/>
    <w:rsid w:val="00192A7F"/>
    <w:rsid w:val="001A2536"/>
    <w:rsid w:val="001A2D7F"/>
    <w:rsid w:val="001A3DF8"/>
    <w:rsid w:val="001A572D"/>
    <w:rsid w:val="001A6B4F"/>
    <w:rsid w:val="001C724A"/>
    <w:rsid w:val="001C74CE"/>
    <w:rsid w:val="001D318E"/>
    <w:rsid w:val="001D4AD8"/>
    <w:rsid w:val="001D54FF"/>
    <w:rsid w:val="001E1974"/>
    <w:rsid w:val="001E6122"/>
    <w:rsid w:val="001E61BA"/>
    <w:rsid w:val="001F1494"/>
    <w:rsid w:val="00202BC2"/>
    <w:rsid w:val="002103DA"/>
    <w:rsid w:val="002122D7"/>
    <w:rsid w:val="00214113"/>
    <w:rsid w:val="00215081"/>
    <w:rsid w:val="00215B15"/>
    <w:rsid w:val="00222532"/>
    <w:rsid w:val="002250F7"/>
    <w:rsid w:val="0023038C"/>
    <w:rsid w:val="00237445"/>
    <w:rsid w:val="00237625"/>
    <w:rsid w:val="0024000F"/>
    <w:rsid w:val="00247AD6"/>
    <w:rsid w:val="00250E2E"/>
    <w:rsid w:val="002513BC"/>
    <w:rsid w:val="002518FD"/>
    <w:rsid w:val="00252A48"/>
    <w:rsid w:val="0026497A"/>
    <w:rsid w:val="00264A93"/>
    <w:rsid w:val="002651A6"/>
    <w:rsid w:val="00267E42"/>
    <w:rsid w:val="00271397"/>
    <w:rsid w:val="00281EB5"/>
    <w:rsid w:val="00290C8D"/>
    <w:rsid w:val="00290FC2"/>
    <w:rsid w:val="00293973"/>
    <w:rsid w:val="002973F0"/>
    <w:rsid w:val="002975C1"/>
    <w:rsid w:val="002A0E6E"/>
    <w:rsid w:val="002A2529"/>
    <w:rsid w:val="002A33CC"/>
    <w:rsid w:val="002B01C2"/>
    <w:rsid w:val="002B14DB"/>
    <w:rsid w:val="002B1808"/>
    <w:rsid w:val="002C1ACE"/>
    <w:rsid w:val="002C1AF9"/>
    <w:rsid w:val="002C3E0D"/>
    <w:rsid w:val="002C47E9"/>
    <w:rsid w:val="002D12B3"/>
    <w:rsid w:val="002D41FB"/>
    <w:rsid w:val="002D5116"/>
    <w:rsid w:val="002E0587"/>
    <w:rsid w:val="002E1E1D"/>
    <w:rsid w:val="002F05FA"/>
    <w:rsid w:val="002F307B"/>
    <w:rsid w:val="003075BF"/>
    <w:rsid w:val="00311EBB"/>
    <w:rsid w:val="00312608"/>
    <w:rsid w:val="00317401"/>
    <w:rsid w:val="00320BCB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608CB"/>
    <w:rsid w:val="00362501"/>
    <w:rsid w:val="003627B6"/>
    <w:rsid w:val="0036714F"/>
    <w:rsid w:val="003708D5"/>
    <w:rsid w:val="003744AD"/>
    <w:rsid w:val="00374D02"/>
    <w:rsid w:val="0038061A"/>
    <w:rsid w:val="0038063B"/>
    <w:rsid w:val="00380837"/>
    <w:rsid w:val="003810B0"/>
    <w:rsid w:val="00382518"/>
    <w:rsid w:val="00382EDD"/>
    <w:rsid w:val="003836CA"/>
    <w:rsid w:val="00384306"/>
    <w:rsid w:val="00385291"/>
    <w:rsid w:val="00386A98"/>
    <w:rsid w:val="003A12A3"/>
    <w:rsid w:val="003A1E9C"/>
    <w:rsid w:val="003A3EB1"/>
    <w:rsid w:val="003A7A5C"/>
    <w:rsid w:val="003B4CA7"/>
    <w:rsid w:val="003B7E75"/>
    <w:rsid w:val="003C33A8"/>
    <w:rsid w:val="003D42CB"/>
    <w:rsid w:val="003D6BE3"/>
    <w:rsid w:val="003D736E"/>
    <w:rsid w:val="003E0E52"/>
    <w:rsid w:val="003F20A5"/>
    <w:rsid w:val="003F233D"/>
    <w:rsid w:val="00400B96"/>
    <w:rsid w:val="00401BD6"/>
    <w:rsid w:val="00405D5F"/>
    <w:rsid w:val="00410914"/>
    <w:rsid w:val="00410B9E"/>
    <w:rsid w:val="00414FA8"/>
    <w:rsid w:val="00415AA3"/>
    <w:rsid w:val="00420C60"/>
    <w:rsid w:val="00423983"/>
    <w:rsid w:val="00424D15"/>
    <w:rsid w:val="0042604D"/>
    <w:rsid w:val="00430432"/>
    <w:rsid w:val="00433759"/>
    <w:rsid w:val="0043494E"/>
    <w:rsid w:val="00440B76"/>
    <w:rsid w:val="004414A5"/>
    <w:rsid w:val="00456697"/>
    <w:rsid w:val="00465FE1"/>
    <w:rsid w:val="00471378"/>
    <w:rsid w:val="00475491"/>
    <w:rsid w:val="004869FB"/>
    <w:rsid w:val="00491735"/>
    <w:rsid w:val="00494A46"/>
    <w:rsid w:val="004B1EC1"/>
    <w:rsid w:val="004B217F"/>
    <w:rsid w:val="004B3600"/>
    <w:rsid w:val="004B3E7F"/>
    <w:rsid w:val="004B437C"/>
    <w:rsid w:val="004B768D"/>
    <w:rsid w:val="004C07FE"/>
    <w:rsid w:val="004D3E4C"/>
    <w:rsid w:val="004D4610"/>
    <w:rsid w:val="004E2863"/>
    <w:rsid w:val="004F185D"/>
    <w:rsid w:val="00502126"/>
    <w:rsid w:val="005037D9"/>
    <w:rsid w:val="00504418"/>
    <w:rsid w:val="005056ED"/>
    <w:rsid w:val="00506D58"/>
    <w:rsid w:val="00513A36"/>
    <w:rsid w:val="005159E6"/>
    <w:rsid w:val="00516106"/>
    <w:rsid w:val="005162A7"/>
    <w:rsid w:val="00517E4C"/>
    <w:rsid w:val="00521CF0"/>
    <w:rsid w:val="005272FD"/>
    <w:rsid w:val="00527516"/>
    <w:rsid w:val="00530B0E"/>
    <w:rsid w:val="00530BBE"/>
    <w:rsid w:val="0053208B"/>
    <w:rsid w:val="00532214"/>
    <w:rsid w:val="00534814"/>
    <w:rsid w:val="00536930"/>
    <w:rsid w:val="0054270E"/>
    <w:rsid w:val="00542A03"/>
    <w:rsid w:val="00547980"/>
    <w:rsid w:val="00552F32"/>
    <w:rsid w:val="005577C1"/>
    <w:rsid w:val="00560A2A"/>
    <w:rsid w:val="00564E53"/>
    <w:rsid w:val="00564E58"/>
    <w:rsid w:val="00571DE8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B173D"/>
    <w:rsid w:val="005B6888"/>
    <w:rsid w:val="005B78B3"/>
    <w:rsid w:val="005C1396"/>
    <w:rsid w:val="005D3185"/>
    <w:rsid w:val="005F3F52"/>
    <w:rsid w:val="005F4B95"/>
    <w:rsid w:val="005F6C65"/>
    <w:rsid w:val="00600F02"/>
    <w:rsid w:val="0060444D"/>
    <w:rsid w:val="006122FC"/>
    <w:rsid w:val="00622CB5"/>
    <w:rsid w:val="00624138"/>
    <w:rsid w:val="0062550A"/>
    <w:rsid w:val="006354BB"/>
    <w:rsid w:val="00642776"/>
    <w:rsid w:val="00644FE2"/>
    <w:rsid w:val="00645FB8"/>
    <w:rsid w:val="00650809"/>
    <w:rsid w:val="0065134F"/>
    <w:rsid w:val="00651986"/>
    <w:rsid w:val="006545E8"/>
    <w:rsid w:val="00664736"/>
    <w:rsid w:val="00665701"/>
    <w:rsid w:val="00665980"/>
    <w:rsid w:val="00672BD0"/>
    <w:rsid w:val="0067640C"/>
    <w:rsid w:val="00677086"/>
    <w:rsid w:val="006836D9"/>
    <w:rsid w:val="00686699"/>
    <w:rsid w:val="00686D0C"/>
    <w:rsid w:val="006937E6"/>
    <w:rsid w:val="00695256"/>
    <w:rsid w:val="00695570"/>
    <w:rsid w:val="00696AF1"/>
    <w:rsid w:val="006A3B31"/>
    <w:rsid w:val="006A66C1"/>
    <w:rsid w:val="006A68F3"/>
    <w:rsid w:val="006B06F4"/>
    <w:rsid w:val="006B20B9"/>
    <w:rsid w:val="006B2C6D"/>
    <w:rsid w:val="006B4127"/>
    <w:rsid w:val="006C24BF"/>
    <w:rsid w:val="006C40B9"/>
    <w:rsid w:val="006C6653"/>
    <w:rsid w:val="006E678B"/>
    <w:rsid w:val="006F176F"/>
    <w:rsid w:val="006F50AA"/>
    <w:rsid w:val="006F5843"/>
    <w:rsid w:val="006F599A"/>
    <w:rsid w:val="006F7580"/>
    <w:rsid w:val="00703009"/>
    <w:rsid w:val="0070367F"/>
    <w:rsid w:val="00712F3C"/>
    <w:rsid w:val="00713183"/>
    <w:rsid w:val="00715C27"/>
    <w:rsid w:val="007170AA"/>
    <w:rsid w:val="00722A29"/>
    <w:rsid w:val="0072769F"/>
    <w:rsid w:val="00732B66"/>
    <w:rsid w:val="007351E2"/>
    <w:rsid w:val="00737C8F"/>
    <w:rsid w:val="007406DE"/>
    <w:rsid w:val="00740DCC"/>
    <w:rsid w:val="00742E96"/>
    <w:rsid w:val="00743E79"/>
    <w:rsid w:val="00744BEA"/>
    <w:rsid w:val="00751532"/>
    <w:rsid w:val="00751C37"/>
    <w:rsid w:val="0075411F"/>
    <w:rsid w:val="0075521F"/>
    <w:rsid w:val="0075769B"/>
    <w:rsid w:val="0077198E"/>
    <w:rsid w:val="007757F3"/>
    <w:rsid w:val="007815DC"/>
    <w:rsid w:val="00787AEA"/>
    <w:rsid w:val="00793469"/>
    <w:rsid w:val="00796E4A"/>
    <w:rsid w:val="007A197A"/>
    <w:rsid w:val="007A47FB"/>
    <w:rsid w:val="007A7056"/>
    <w:rsid w:val="007B106B"/>
    <w:rsid w:val="007B275D"/>
    <w:rsid w:val="007C587C"/>
    <w:rsid w:val="007D0724"/>
    <w:rsid w:val="007D5776"/>
    <w:rsid w:val="007E4877"/>
    <w:rsid w:val="007E6AEB"/>
    <w:rsid w:val="007F01EC"/>
    <w:rsid w:val="007F7DF2"/>
    <w:rsid w:val="00806CD1"/>
    <w:rsid w:val="008079FA"/>
    <w:rsid w:val="00810D58"/>
    <w:rsid w:val="00823D48"/>
    <w:rsid w:val="0082611C"/>
    <w:rsid w:val="008336D7"/>
    <w:rsid w:val="00835B31"/>
    <w:rsid w:val="00844B5D"/>
    <w:rsid w:val="0084793C"/>
    <w:rsid w:val="00850413"/>
    <w:rsid w:val="00857B4A"/>
    <w:rsid w:val="008646DE"/>
    <w:rsid w:val="00864902"/>
    <w:rsid w:val="00864BE7"/>
    <w:rsid w:val="00865200"/>
    <w:rsid w:val="0087120C"/>
    <w:rsid w:val="00871695"/>
    <w:rsid w:val="008841D8"/>
    <w:rsid w:val="00884879"/>
    <w:rsid w:val="00891C25"/>
    <w:rsid w:val="008945E1"/>
    <w:rsid w:val="008957E5"/>
    <w:rsid w:val="008973EE"/>
    <w:rsid w:val="00897630"/>
    <w:rsid w:val="008A3B66"/>
    <w:rsid w:val="008B1414"/>
    <w:rsid w:val="008B2609"/>
    <w:rsid w:val="008C51BA"/>
    <w:rsid w:val="008D089D"/>
    <w:rsid w:val="008D427B"/>
    <w:rsid w:val="008E31F5"/>
    <w:rsid w:val="008F0B04"/>
    <w:rsid w:val="008F3FE0"/>
    <w:rsid w:val="008F41A1"/>
    <w:rsid w:val="008F7C55"/>
    <w:rsid w:val="00900C72"/>
    <w:rsid w:val="0090248D"/>
    <w:rsid w:val="00907732"/>
    <w:rsid w:val="00922540"/>
    <w:rsid w:val="00930694"/>
    <w:rsid w:val="0093521F"/>
    <w:rsid w:val="00936368"/>
    <w:rsid w:val="00936493"/>
    <w:rsid w:val="00942412"/>
    <w:rsid w:val="00945677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83B0D"/>
    <w:rsid w:val="00984342"/>
    <w:rsid w:val="00987356"/>
    <w:rsid w:val="009973B4"/>
    <w:rsid w:val="009A5193"/>
    <w:rsid w:val="009A76A1"/>
    <w:rsid w:val="009B7EB8"/>
    <w:rsid w:val="009D1FC3"/>
    <w:rsid w:val="009D48E6"/>
    <w:rsid w:val="009D6D70"/>
    <w:rsid w:val="009D7E11"/>
    <w:rsid w:val="009E30DA"/>
    <w:rsid w:val="009E6193"/>
    <w:rsid w:val="009E7DD1"/>
    <w:rsid w:val="009F609F"/>
    <w:rsid w:val="009F7EED"/>
    <w:rsid w:val="00A01006"/>
    <w:rsid w:val="00A115EA"/>
    <w:rsid w:val="00A119E9"/>
    <w:rsid w:val="00A138EC"/>
    <w:rsid w:val="00A169D0"/>
    <w:rsid w:val="00A26E44"/>
    <w:rsid w:val="00A34B9E"/>
    <w:rsid w:val="00A458FE"/>
    <w:rsid w:val="00A53106"/>
    <w:rsid w:val="00A6128F"/>
    <w:rsid w:val="00A672B4"/>
    <w:rsid w:val="00A7595A"/>
    <w:rsid w:val="00A801DE"/>
    <w:rsid w:val="00A90A22"/>
    <w:rsid w:val="00A95DF8"/>
    <w:rsid w:val="00A960E3"/>
    <w:rsid w:val="00A97734"/>
    <w:rsid w:val="00AA1A59"/>
    <w:rsid w:val="00AA6C7E"/>
    <w:rsid w:val="00AA7F40"/>
    <w:rsid w:val="00AB2990"/>
    <w:rsid w:val="00AB3547"/>
    <w:rsid w:val="00AB41FC"/>
    <w:rsid w:val="00AB7D2F"/>
    <w:rsid w:val="00AC3C8A"/>
    <w:rsid w:val="00AC763E"/>
    <w:rsid w:val="00AD1C7F"/>
    <w:rsid w:val="00AD333E"/>
    <w:rsid w:val="00AD6F34"/>
    <w:rsid w:val="00AF0AAB"/>
    <w:rsid w:val="00AF156F"/>
    <w:rsid w:val="00AF616B"/>
    <w:rsid w:val="00B00F82"/>
    <w:rsid w:val="00B0685B"/>
    <w:rsid w:val="00B077F0"/>
    <w:rsid w:val="00B17A56"/>
    <w:rsid w:val="00B20E72"/>
    <w:rsid w:val="00B22D22"/>
    <w:rsid w:val="00B23030"/>
    <w:rsid w:val="00B237B9"/>
    <w:rsid w:val="00B23A5E"/>
    <w:rsid w:val="00B23CAA"/>
    <w:rsid w:val="00B2585D"/>
    <w:rsid w:val="00B362B9"/>
    <w:rsid w:val="00B410EE"/>
    <w:rsid w:val="00B4369C"/>
    <w:rsid w:val="00B443E9"/>
    <w:rsid w:val="00B57EAB"/>
    <w:rsid w:val="00B64949"/>
    <w:rsid w:val="00B81284"/>
    <w:rsid w:val="00B8202D"/>
    <w:rsid w:val="00B857F1"/>
    <w:rsid w:val="00B929FD"/>
    <w:rsid w:val="00B95B99"/>
    <w:rsid w:val="00B95F69"/>
    <w:rsid w:val="00B97B53"/>
    <w:rsid w:val="00BC2015"/>
    <w:rsid w:val="00BC36BE"/>
    <w:rsid w:val="00BC6CDF"/>
    <w:rsid w:val="00BC71B0"/>
    <w:rsid w:val="00BE2675"/>
    <w:rsid w:val="00BE6A10"/>
    <w:rsid w:val="00BF597E"/>
    <w:rsid w:val="00C00AEE"/>
    <w:rsid w:val="00C028B7"/>
    <w:rsid w:val="00C0299D"/>
    <w:rsid w:val="00C03098"/>
    <w:rsid w:val="00C0339F"/>
    <w:rsid w:val="00C10703"/>
    <w:rsid w:val="00C14685"/>
    <w:rsid w:val="00C173F0"/>
    <w:rsid w:val="00C31C73"/>
    <w:rsid w:val="00C342F8"/>
    <w:rsid w:val="00C42C8D"/>
    <w:rsid w:val="00C46B78"/>
    <w:rsid w:val="00C51A36"/>
    <w:rsid w:val="00C548BE"/>
    <w:rsid w:val="00C55228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5A02"/>
    <w:rsid w:val="00CB0B69"/>
    <w:rsid w:val="00CB11CC"/>
    <w:rsid w:val="00CB260B"/>
    <w:rsid w:val="00CE2A9E"/>
    <w:rsid w:val="00CE315A"/>
    <w:rsid w:val="00CE7BE1"/>
    <w:rsid w:val="00CF147A"/>
    <w:rsid w:val="00CF1726"/>
    <w:rsid w:val="00CF46F8"/>
    <w:rsid w:val="00CF615B"/>
    <w:rsid w:val="00CF6C5C"/>
    <w:rsid w:val="00D02852"/>
    <w:rsid w:val="00D02F7F"/>
    <w:rsid w:val="00D02FF8"/>
    <w:rsid w:val="00D06F59"/>
    <w:rsid w:val="00D2302E"/>
    <w:rsid w:val="00D306EF"/>
    <w:rsid w:val="00D3392D"/>
    <w:rsid w:val="00D35353"/>
    <w:rsid w:val="00D363BF"/>
    <w:rsid w:val="00D37F3C"/>
    <w:rsid w:val="00D429D7"/>
    <w:rsid w:val="00D44AD0"/>
    <w:rsid w:val="00D458E8"/>
    <w:rsid w:val="00D5229B"/>
    <w:rsid w:val="00D55BC5"/>
    <w:rsid w:val="00D55E69"/>
    <w:rsid w:val="00D562F6"/>
    <w:rsid w:val="00D566B4"/>
    <w:rsid w:val="00D624A3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D1C8E"/>
    <w:rsid w:val="00DE146D"/>
    <w:rsid w:val="00DE2D80"/>
    <w:rsid w:val="00DE6FCE"/>
    <w:rsid w:val="00DF3ECC"/>
    <w:rsid w:val="00DF76DB"/>
    <w:rsid w:val="00E02739"/>
    <w:rsid w:val="00E038E4"/>
    <w:rsid w:val="00E13D9A"/>
    <w:rsid w:val="00E21843"/>
    <w:rsid w:val="00E32D13"/>
    <w:rsid w:val="00E43822"/>
    <w:rsid w:val="00E44012"/>
    <w:rsid w:val="00E4451E"/>
    <w:rsid w:val="00E44C05"/>
    <w:rsid w:val="00E467AB"/>
    <w:rsid w:val="00E54035"/>
    <w:rsid w:val="00E62996"/>
    <w:rsid w:val="00E63714"/>
    <w:rsid w:val="00E64A51"/>
    <w:rsid w:val="00E676F9"/>
    <w:rsid w:val="00E7040E"/>
    <w:rsid w:val="00E70928"/>
    <w:rsid w:val="00E764D2"/>
    <w:rsid w:val="00E910C0"/>
    <w:rsid w:val="00E9449D"/>
    <w:rsid w:val="00E97424"/>
    <w:rsid w:val="00EA10B1"/>
    <w:rsid w:val="00EA55F7"/>
    <w:rsid w:val="00EB0164"/>
    <w:rsid w:val="00EB2329"/>
    <w:rsid w:val="00EB5DF5"/>
    <w:rsid w:val="00EB65F7"/>
    <w:rsid w:val="00EC42F5"/>
    <w:rsid w:val="00ED0F62"/>
    <w:rsid w:val="00EE482F"/>
    <w:rsid w:val="00EF36E7"/>
    <w:rsid w:val="00F06D09"/>
    <w:rsid w:val="00F101A2"/>
    <w:rsid w:val="00F11201"/>
    <w:rsid w:val="00F14D99"/>
    <w:rsid w:val="00F20EEA"/>
    <w:rsid w:val="00F31A8A"/>
    <w:rsid w:val="00F32CB9"/>
    <w:rsid w:val="00F33729"/>
    <w:rsid w:val="00F35CD7"/>
    <w:rsid w:val="00F3666E"/>
    <w:rsid w:val="00F51005"/>
    <w:rsid w:val="00F5492A"/>
    <w:rsid w:val="00F606E1"/>
    <w:rsid w:val="00F657C4"/>
    <w:rsid w:val="00F6739D"/>
    <w:rsid w:val="00F708CB"/>
    <w:rsid w:val="00F74317"/>
    <w:rsid w:val="00F80C36"/>
    <w:rsid w:val="00F83639"/>
    <w:rsid w:val="00F837D0"/>
    <w:rsid w:val="00F840C3"/>
    <w:rsid w:val="00F856F5"/>
    <w:rsid w:val="00F862A2"/>
    <w:rsid w:val="00F87F8F"/>
    <w:rsid w:val="00F956F5"/>
    <w:rsid w:val="00FA0833"/>
    <w:rsid w:val="00FA350D"/>
    <w:rsid w:val="00FB03C3"/>
    <w:rsid w:val="00FB5A65"/>
    <w:rsid w:val="00FC6FE0"/>
    <w:rsid w:val="00FD1448"/>
    <w:rsid w:val="00FD2869"/>
    <w:rsid w:val="00FD5EE5"/>
    <w:rsid w:val="00FD72A6"/>
    <w:rsid w:val="00FE065B"/>
    <w:rsid w:val="00FE09C9"/>
    <w:rsid w:val="01F27718"/>
    <w:rsid w:val="045C36F4"/>
    <w:rsid w:val="04C27A24"/>
    <w:rsid w:val="06732320"/>
    <w:rsid w:val="108219C2"/>
    <w:rsid w:val="13843BA2"/>
    <w:rsid w:val="1C8B3011"/>
    <w:rsid w:val="1D762108"/>
    <w:rsid w:val="368C33FB"/>
    <w:rsid w:val="3EA25CDB"/>
    <w:rsid w:val="55F37153"/>
    <w:rsid w:val="5930168D"/>
    <w:rsid w:val="5EA12B9A"/>
    <w:rsid w:val="735A4F4E"/>
    <w:rsid w:val="751A16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四号 行距: 1.5 倍行距 首行缩进:  2 字符1 + 首行缩进:  2 字符"/>
    <w:basedOn w:val="1"/>
    <w:qFormat/>
    <w:uiPriority w:val="0"/>
    <w:pPr>
      <w:spacing w:line="360" w:lineRule="auto"/>
      <w:ind w:firstLine="480" w:firstLineChars="200"/>
    </w:pPr>
    <w:rPr>
      <w:kern w:val="0"/>
      <w:sz w:val="28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fontstyle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customStyle="1" w:styleId="14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paragraph" w:customStyle="1" w:styleId="15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styleId="16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1295</Words>
  <Characters>7382</Characters>
  <Lines>61</Lines>
  <Paragraphs>17</Paragraphs>
  <TotalTime>2</TotalTime>
  <ScaleCrop>false</ScaleCrop>
  <LinksUpToDate>false</LinksUpToDate>
  <CharactersWithSpaces>8660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2019-12-28T13:14:37Z</dcterms:modified>
  <cp:revision>806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