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0468-2020-QEO-2022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重庆伯仲物流有限公司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重庆伯仲物流有限公司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重庆市沙坪坝区西部现代物流园垄安大道传化公路物流港零担仓库L409</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重庆市沙坪坝区垄安大道120号维龙沙坪坝物流园A2号仓库/办公楼</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刘安辉</w:t>
            </w:r>
            <w:bookmarkEnd w:id="10"/>
          </w:p>
        </w:tc>
        <w:tc>
          <w:tcPr>
            <w:tcW w:w="1313" w:type="dxa"/>
            <w:vAlign w:val="center"/>
          </w:tcPr>
          <w:p>
            <w:r>
              <w:rPr>
                <w:rFonts w:hint="eastAsia"/>
              </w:rPr>
              <w:t>电话.</w:t>
            </w:r>
          </w:p>
        </w:tc>
        <w:tc>
          <w:tcPr>
            <w:tcW w:w="2180" w:type="dxa"/>
            <w:vAlign w:val="center"/>
          </w:tcPr>
          <w:p>
            <w:bookmarkStart w:id="11" w:name="联系人电话"/>
            <w:r>
              <w:t>023-65508979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刘安辉</w:t>
            </w:r>
            <w:bookmarkEnd w:id="13"/>
          </w:p>
        </w:tc>
        <w:tc>
          <w:tcPr>
            <w:tcW w:w="1313" w:type="dxa"/>
            <w:vAlign w:val="center"/>
          </w:tcPr>
          <w:p>
            <w:r>
              <w:rPr>
                <w:rFonts w:hint="eastAsia"/>
              </w:rPr>
              <w:t>管理者代表</w:t>
            </w:r>
          </w:p>
        </w:tc>
        <w:tc>
          <w:tcPr>
            <w:tcW w:w="2180" w:type="dxa"/>
          </w:tcPr>
          <w:p>
            <w:bookmarkStart w:id="14" w:name="管理者代表"/>
            <w:r>
              <w:t>王亚兰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val="0"/>
              <w:spacing w:before="25" w:after="25" w:line="360" w:lineRule="auto"/>
              <w:jc w:val="both"/>
              <w:rPr>
                <w:rFonts w:hint="eastAsia" w:ascii="Times New Roman" w:hAnsi="Times New Roman" w:eastAsia="宋体" w:cs="Times New Roman"/>
                <w:bCs/>
                <w:spacing w:val="10"/>
                <w:kern w:val="2"/>
                <w:sz w:val="21"/>
                <w:szCs w:val="21"/>
                <w:highlight w:val="none"/>
                <w:lang w:val="zh-TW" w:eastAsia="zh-TW" w:bidi="ar-SA"/>
              </w:rPr>
            </w:pPr>
            <w:r>
              <w:rPr>
                <w:rFonts w:hint="eastAsia" w:ascii="Times New Roman" w:hAnsi="Times New Roman" w:eastAsia="宋体" w:cs="Times New Roman"/>
                <w:bCs/>
                <w:spacing w:val="10"/>
                <w:kern w:val="2"/>
                <w:sz w:val="21"/>
                <w:szCs w:val="21"/>
                <w:highlight w:val="none"/>
                <w:rtl w:val="0"/>
                <w:lang w:val="zh-CN" w:eastAsia="zh-CN" w:bidi="ar-SA"/>
              </w:rPr>
              <w:t>货运流程：签订合同——制定运输方案—按照方案执行——客户确认。</w:t>
            </w:r>
          </w:p>
          <w:p>
            <w:r>
              <w:rPr>
                <w:rFonts w:hint="eastAsia" w:ascii="Times New Roman" w:hAnsi="Times New Roman" w:eastAsia="宋体" w:cs="Times New Roman"/>
                <w:bCs/>
                <w:spacing w:val="10"/>
                <w:kern w:val="2"/>
                <w:sz w:val="21"/>
                <w:szCs w:val="21"/>
                <w:highlight w:val="none"/>
                <w:lang w:val="en-US" w:eastAsia="zh-CN" w:bidi="ar-SA"/>
              </w:rPr>
              <w:t>运输过程为关键过程。</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2022年09月02日 上午至2022年09月03日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r>
              <w:rPr>
                <w:rFonts w:hint="eastAsia"/>
              </w:rPr>
              <w:t xml:space="preserve">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重庆市沙坪坝区垄安大道120号维龙沙坪坝物流园A2号仓库/办公楼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Q：许可范围内的普通货运。</w:t>
            </w:r>
          </w:p>
          <w:p>
            <w:r>
              <w:t>E：许可范围内的普通货运所涉及的相关环境管理活动。</w:t>
            </w:r>
          </w:p>
          <w:p>
            <w:r>
              <w:t>O：许可范围内的普通货运所涉及的相关职业健康安全管理活动。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Q：31.04.01</w:t>
            </w:r>
          </w:p>
          <w:p>
            <w:r>
              <w:t>E：31.04.01</w:t>
            </w:r>
          </w:p>
          <w:p>
            <w:r>
              <w:t>O：31.04.01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lang w:val="en-US" w:eastAsia="zh-CN"/>
              </w:rPr>
              <w:t>2019年12月10日</w:t>
            </w:r>
          </w:p>
          <w:p>
            <w:pPr>
              <w:rPr>
                <w:rFonts w:ascii="Times New Roman" w:hAnsi="Times New Roman" w:eastAsia="宋体" w:cs="Times New Roman"/>
                <w:kern w:val="2"/>
                <w:sz w:val="21"/>
                <w:szCs w:val="24"/>
                <w:lang w:val="en-US" w:eastAsia="zh-CN" w:bidi="ar-SA"/>
              </w:rPr>
            </w:pPr>
          </w:p>
        </w:tc>
        <w:tc>
          <w:tcPr>
            <w:tcW w:w="1883" w:type="dxa"/>
            <w:vAlign w:val="center"/>
          </w:tcPr>
          <w:p>
            <w:pPr>
              <w:rPr>
                <w:rFonts w:ascii="Times New Roman" w:hAnsi="Times New Roman" w:eastAsia="宋体" w:cs="Times New Roman"/>
                <w:kern w:val="2"/>
                <w:sz w:val="21"/>
                <w:szCs w:val="24"/>
                <w:lang w:val="en-US" w:eastAsia="zh-CN" w:bidi="ar-SA"/>
              </w:rPr>
            </w:pPr>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kern w:val="2"/>
                <w:sz w:val="21"/>
                <w:szCs w:val="24"/>
                <w:lang w:val="en-US" w:eastAsia="zh-CN" w:bidi="ar-SA"/>
              </w:rPr>
            </w:pPr>
            <w:r>
              <w:rPr>
                <w:rFonts w:hint="eastAsia"/>
              </w:rPr>
              <w:t xml:space="preserve"> </w:t>
            </w:r>
            <w:r>
              <w:rPr>
                <w:rFonts w:hint="eastAsia"/>
                <w:lang w:val="en-US" w:eastAsia="zh-CN"/>
              </w:rPr>
              <w:t>2021年9月9日</w:t>
            </w:r>
          </w:p>
        </w:tc>
        <w:tc>
          <w:tcPr>
            <w:tcW w:w="1883" w:type="dxa"/>
            <w:vAlign w:val="center"/>
          </w:tcPr>
          <w:p>
            <w:r>
              <w:rPr>
                <w:rFonts w:hint="eastAsia"/>
              </w:rPr>
              <w:t>认证证书有效期</w:t>
            </w:r>
          </w:p>
          <w:p>
            <w:pPr>
              <w:rPr>
                <w:rFonts w:ascii="Times New Roman" w:hAnsi="Times New Roman" w:eastAsia="宋体" w:cs="Times New Roman"/>
                <w:kern w:val="2"/>
                <w:sz w:val="21"/>
                <w:szCs w:val="24"/>
                <w:lang w:val="en-US" w:eastAsia="zh-CN" w:bidi="ar-SA"/>
              </w:rPr>
            </w:pPr>
            <w:r>
              <w:rPr>
                <w:rFonts w:hint="eastAsia"/>
              </w:rPr>
              <w:t>（初审除外）</w:t>
            </w:r>
          </w:p>
        </w:tc>
        <w:tc>
          <w:tcPr>
            <w:tcW w:w="3215" w:type="dxa"/>
            <w:vAlign w:val="center"/>
          </w:tcPr>
          <w:p>
            <w:pPr>
              <w:rPr>
                <w:rFonts w:hint="default" w:ascii="Times New Roman" w:hAnsi="Times New Roman" w:eastAsia="宋体" w:cs="Times New Roman"/>
                <w:kern w:val="2"/>
                <w:sz w:val="21"/>
                <w:szCs w:val="24"/>
                <w:lang w:val="en-US" w:eastAsia="zh-CN" w:bidi="ar-SA"/>
              </w:rPr>
            </w:pPr>
            <w:r>
              <w:rPr>
                <w:rFonts w:hint="eastAsia"/>
              </w:rPr>
              <w:t xml:space="preserve">有效至 </w:t>
            </w:r>
            <w:r>
              <w:rPr>
                <w:rFonts w:hint="eastAsia"/>
                <w:lang w:val="en-US" w:eastAsia="zh-CN"/>
              </w:rPr>
              <w:t>2023年年9月10日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17"/>
        <w:gridCol w:w="2017"/>
        <w:gridCol w:w="663"/>
        <w:gridCol w:w="1940"/>
        <w:gridCol w:w="14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517" w:type="dxa"/>
            <w:shd w:val="clear" w:color="auto" w:fill="F3F3F3"/>
            <w:tcMar>
              <w:left w:w="57" w:type="dxa"/>
              <w:right w:w="57" w:type="dxa"/>
            </w:tcMar>
          </w:tcPr>
          <w:p>
            <w:r>
              <w:rPr>
                <w:rFonts w:hint="eastAsia"/>
              </w:rPr>
              <w:t>组织名称及注册场所地址</w:t>
            </w:r>
          </w:p>
        </w:tc>
        <w:tc>
          <w:tcPr>
            <w:tcW w:w="2017" w:type="dxa"/>
            <w:shd w:val="clear" w:color="auto" w:fill="F3F3F3"/>
            <w:tcMar>
              <w:left w:w="57" w:type="dxa"/>
              <w:right w:w="57" w:type="dxa"/>
            </w:tcMar>
          </w:tcPr>
          <w:p>
            <w:r>
              <w:rPr>
                <w:rFonts w:hint="eastAsia"/>
              </w:rPr>
              <w:t>经营场所的地址</w:t>
            </w:r>
          </w:p>
          <w:p>
            <w:r>
              <w:rPr>
                <w:rFonts w:hint="eastAsia"/>
              </w:rPr>
              <w:t>（多现场和临时现场）</w:t>
            </w:r>
          </w:p>
        </w:tc>
        <w:tc>
          <w:tcPr>
            <w:tcW w:w="663" w:type="dxa"/>
            <w:shd w:val="clear" w:color="auto" w:fill="F3F3F3"/>
            <w:tcMar>
              <w:left w:w="57" w:type="dxa"/>
              <w:right w:w="57" w:type="dxa"/>
            </w:tcMar>
          </w:tcPr>
          <w:p>
            <w:r>
              <w:rPr>
                <w:rFonts w:hint="eastAsia"/>
              </w:rPr>
              <w:t>员工人数</w:t>
            </w:r>
          </w:p>
        </w:tc>
        <w:tc>
          <w:tcPr>
            <w:tcW w:w="1940" w:type="dxa"/>
            <w:shd w:val="clear" w:color="auto" w:fill="F3F3F3"/>
            <w:tcMar>
              <w:left w:w="57" w:type="dxa"/>
              <w:right w:w="57" w:type="dxa"/>
            </w:tcMar>
          </w:tcPr>
          <w:p>
            <w:r>
              <w:rPr>
                <w:rFonts w:hint="eastAsia"/>
              </w:rPr>
              <w:t>审核范围（产品和过程）</w:t>
            </w:r>
          </w:p>
          <w:p/>
          <w:p/>
        </w:tc>
        <w:tc>
          <w:tcPr>
            <w:tcW w:w="144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01</w:t>
            </w:r>
          </w:p>
        </w:tc>
        <w:tc>
          <w:tcPr>
            <w:tcW w:w="2517" w:type="dxa"/>
            <w:vAlign w:val="top"/>
          </w:tcPr>
          <w:p>
            <w:pPr>
              <w:rPr>
                <w:rFonts w:hint="eastAsia"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017" w:type="dxa"/>
            <w:vAlign w:val="top"/>
          </w:tcPr>
          <w:p>
            <w:pPr>
              <w:rPr>
                <w:rFonts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重庆市沙坪坝区垄安大道120号维龙沙坪坝物流园A2号仓库/办公楼</w:t>
            </w:r>
          </w:p>
        </w:tc>
        <w:tc>
          <w:tcPr>
            <w:tcW w:w="663"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20</w:t>
            </w:r>
          </w:p>
        </w:tc>
        <w:tc>
          <w:tcPr>
            <w:tcW w:w="1940" w:type="dxa"/>
            <w:vAlign w:val="center"/>
          </w:tcPr>
          <w:p>
            <w:pPr>
              <w:rPr>
                <w:rFonts w:ascii="Times New Roman" w:hAnsi="Times New Roman" w:eastAsia="宋体" w:cs="Times New Roman"/>
                <w:kern w:val="2"/>
                <w:sz w:val="21"/>
                <w:szCs w:val="24"/>
                <w:lang w:val="en-US" w:eastAsia="ja-JP" w:bidi="ar-SA"/>
              </w:rPr>
            </w:pPr>
            <w:r>
              <w:rPr>
                <w:rFonts w:hint="eastAsia"/>
              </w:rPr>
              <w:t>许可范围内的普通货运</w:t>
            </w:r>
          </w:p>
        </w:tc>
        <w:tc>
          <w:tcPr>
            <w:tcW w:w="1440" w:type="dxa"/>
            <w:vAlign w:val="center"/>
          </w:tcPr>
          <w:p>
            <w:pPr>
              <w:rPr>
                <w:rFonts w:ascii="Times New Roman" w:hAnsi="Times New Roman" w:eastAsia="宋体" w:cs="Times New Roman"/>
                <w:kern w:val="2"/>
                <w:sz w:val="21"/>
                <w:szCs w:val="24"/>
                <w:lang w:val="en-US" w:eastAsia="ja-JP" w:bidi="ar-SA"/>
              </w:rPr>
            </w:pPr>
            <w:r>
              <w:rPr>
                <w:rFonts w:hint="eastAsia"/>
                <w:lang w:eastAsia="ja-JP"/>
              </w:rPr>
              <w:t>GB/T19001-2016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02</w:t>
            </w:r>
          </w:p>
        </w:tc>
        <w:tc>
          <w:tcPr>
            <w:tcW w:w="2517" w:type="dxa"/>
            <w:vAlign w:val="top"/>
          </w:tcPr>
          <w:p>
            <w:pPr>
              <w:rPr>
                <w:rFonts w:hint="eastAsia" w:ascii="Times New Roman" w:hAnsi="Times New Roman" w:eastAsia="宋体" w:cs="Times New Roman"/>
                <w:b w:val="0"/>
                <w:bCs/>
                <w:kern w:val="2"/>
                <w:sz w:val="21"/>
                <w:szCs w:val="24"/>
                <w:lang w:val="en-US" w:eastAsia="ja-JP" w:bidi="ar-SA"/>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017" w:type="dxa"/>
            <w:vAlign w:val="top"/>
          </w:tcPr>
          <w:p>
            <w:pPr>
              <w:rPr>
                <w:rFonts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重庆市沙坪坝区垄安大道120号维龙沙坪坝物流园A2号仓库/办公楼</w:t>
            </w:r>
          </w:p>
        </w:tc>
        <w:tc>
          <w:tcPr>
            <w:tcW w:w="663"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20</w:t>
            </w:r>
          </w:p>
        </w:tc>
        <w:tc>
          <w:tcPr>
            <w:tcW w:w="1940" w:type="dxa"/>
            <w:vAlign w:val="center"/>
          </w:tcPr>
          <w:p>
            <w:pPr>
              <w:rPr>
                <w:rFonts w:ascii="Times New Roman" w:hAnsi="Times New Roman" w:eastAsia="宋体" w:cs="Times New Roman"/>
                <w:kern w:val="2"/>
                <w:sz w:val="21"/>
                <w:szCs w:val="24"/>
                <w:lang w:val="en-US" w:eastAsia="ja-JP" w:bidi="ar-SA"/>
              </w:rPr>
            </w:pPr>
            <w:r>
              <w:rPr>
                <w:rFonts w:hint="eastAsia"/>
              </w:rPr>
              <w:t>许可范围内的普通货运所涉及的相关环境管理活动</w:t>
            </w:r>
          </w:p>
        </w:tc>
        <w:tc>
          <w:tcPr>
            <w:tcW w:w="1440" w:type="dxa"/>
            <w:vAlign w:val="center"/>
          </w:tcPr>
          <w:p>
            <w:pPr>
              <w:rPr>
                <w:rFonts w:ascii="Times New Roman" w:hAnsi="Times New Roman" w:eastAsia="宋体" w:cs="Times New Roman"/>
                <w:kern w:val="2"/>
                <w:sz w:val="21"/>
                <w:szCs w:val="24"/>
                <w:lang w:val="en-US" w:eastAsia="ja-JP" w:bidi="ar-SA"/>
              </w:rPr>
            </w:pPr>
            <w:r>
              <w:rPr>
                <w:rFonts w:hint="eastAsia"/>
                <w:lang w:eastAsia="ja-JP"/>
              </w:rPr>
              <w:t>GB/T 24001-2016</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ascii="Times New Roman" w:hAnsi="Times New Roman" w:eastAsia="宋体" w:cs="Times New Roman"/>
                <w:kern w:val="2"/>
                <w:sz w:val="21"/>
                <w:szCs w:val="24"/>
                <w:lang w:val="en-US" w:eastAsia="ja-JP" w:bidi="ar-SA"/>
              </w:rPr>
            </w:pPr>
            <w:r>
              <w:rPr>
                <w:rFonts w:hint="eastAsia"/>
                <w:lang w:eastAsia="ja-JP"/>
              </w:rPr>
              <w:t>03</w:t>
            </w:r>
          </w:p>
        </w:tc>
        <w:tc>
          <w:tcPr>
            <w:tcW w:w="2517" w:type="dxa"/>
            <w:vAlign w:val="top"/>
          </w:tcPr>
          <w:p>
            <w:pPr>
              <w:rPr>
                <w:rFonts w:hint="eastAsia" w:ascii="Times New Roman" w:hAnsi="Times New Roman" w:eastAsia="宋体" w:cs="Times New Roman"/>
                <w:b w:val="0"/>
                <w:bCs/>
                <w:kern w:val="2"/>
                <w:sz w:val="21"/>
                <w:szCs w:val="24"/>
                <w:lang w:val="en-US" w:eastAsia="ja-JP" w:bidi="ar-SA"/>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017" w:type="dxa"/>
            <w:vAlign w:val="top"/>
          </w:tcPr>
          <w:p>
            <w:pPr>
              <w:rPr>
                <w:rFonts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重庆市沙坪坝区垄安大道120号维龙沙坪坝物流园A2号仓库/办公楼</w:t>
            </w:r>
          </w:p>
        </w:tc>
        <w:tc>
          <w:tcPr>
            <w:tcW w:w="663"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20</w:t>
            </w:r>
          </w:p>
        </w:tc>
        <w:tc>
          <w:tcPr>
            <w:tcW w:w="1940" w:type="dxa"/>
            <w:vAlign w:val="center"/>
          </w:tcPr>
          <w:p>
            <w:pPr>
              <w:rPr>
                <w:rFonts w:ascii="Times New Roman" w:hAnsi="Times New Roman" w:eastAsia="宋体" w:cs="Times New Roman"/>
                <w:kern w:val="2"/>
                <w:sz w:val="21"/>
                <w:szCs w:val="24"/>
                <w:lang w:val="en-US" w:eastAsia="ja-JP" w:bidi="ar-SA"/>
              </w:rPr>
            </w:pPr>
            <w:r>
              <w:rPr>
                <w:rFonts w:hint="eastAsia"/>
              </w:rPr>
              <w:t>许可范围内的普通货运所涉及的相关职业健康安全管理活动</w:t>
            </w:r>
          </w:p>
        </w:tc>
        <w:tc>
          <w:tcPr>
            <w:tcW w:w="1440" w:type="dxa"/>
            <w:vAlign w:val="center"/>
          </w:tcPr>
          <w:p>
            <w:pPr>
              <w:rPr>
                <w:rFonts w:ascii="Times New Roman" w:hAnsi="Times New Roman" w:eastAsia="宋体" w:cs="Times New Roman"/>
                <w:kern w:val="2"/>
                <w:sz w:val="21"/>
                <w:szCs w:val="24"/>
                <w:lang w:val="en-US" w:eastAsia="ja-JP" w:bidi="ar-SA"/>
              </w:rPr>
            </w:pPr>
            <w:r>
              <w:rPr>
                <w:rFonts w:hint="eastAsia"/>
                <w:lang w:eastAsia="ja-JP"/>
              </w:rPr>
              <w:t xml:space="preserve">GB/T45001-2020 </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517" w:type="dxa"/>
            <w:vAlign w:val="center"/>
          </w:tcPr>
          <w:p>
            <w:pPr>
              <w:rPr>
                <w:lang w:eastAsia="ja-JP"/>
              </w:rPr>
            </w:pPr>
          </w:p>
        </w:tc>
        <w:tc>
          <w:tcPr>
            <w:tcW w:w="2017" w:type="dxa"/>
            <w:vAlign w:val="center"/>
          </w:tcPr>
          <w:p>
            <w:pPr>
              <w:rPr>
                <w:lang w:eastAsia="ja-JP"/>
              </w:rPr>
            </w:pPr>
          </w:p>
        </w:tc>
        <w:tc>
          <w:tcPr>
            <w:tcW w:w="663" w:type="dxa"/>
            <w:vAlign w:val="center"/>
          </w:tcPr>
          <w:p>
            <w:pPr>
              <w:rPr>
                <w:lang w:eastAsia="ja-JP"/>
              </w:rPr>
            </w:pPr>
          </w:p>
        </w:tc>
        <w:tc>
          <w:tcPr>
            <w:tcW w:w="1940" w:type="dxa"/>
            <w:vAlign w:val="center"/>
          </w:tcPr>
          <w:p>
            <w:pPr>
              <w:rPr>
                <w:lang w:eastAsia="ja-JP"/>
              </w:rPr>
            </w:pPr>
          </w:p>
        </w:tc>
        <w:tc>
          <w:tcPr>
            <w:tcW w:w="144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517" w:type="dxa"/>
            <w:vAlign w:val="center"/>
          </w:tcPr>
          <w:p>
            <w:pPr>
              <w:rPr>
                <w:lang w:eastAsia="ja-JP"/>
              </w:rPr>
            </w:pPr>
          </w:p>
        </w:tc>
        <w:tc>
          <w:tcPr>
            <w:tcW w:w="2017" w:type="dxa"/>
            <w:vAlign w:val="center"/>
          </w:tcPr>
          <w:p>
            <w:pPr>
              <w:rPr>
                <w:lang w:eastAsia="ja-JP"/>
              </w:rPr>
            </w:pPr>
          </w:p>
        </w:tc>
        <w:tc>
          <w:tcPr>
            <w:tcW w:w="663" w:type="dxa"/>
            <w:vAlign w:val="center"/>
          </w:tcPr>
          <w:p>
            <w:pPr>
              <w:rPr>
                <w:lang w:eastAsia="ja-JP"/>
              </w:rPr>
            </w:pPr>
          </w:p>
        </w:tc>
        <w:tc>
          <w:tcPr>
            <w:tcW w:w="1940" w:type="dxa"/>
            <w:vAlign w:val="center"/>
          </w:tcPr>
          <w:p>
            <w:pPr>
              <w:rPr>
                <w:lang w:eastAsia="ja-JP"/>
              </w:rPr>
            </w:pPr>
          </w:p>
        </w:tc>
        <w:tc>
          <w:tcPr>
            <w:tcW w:w="1440"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Q:31.04.01</w:t>
            </w:r>
          </w:p>
          <w:p>
            <w:r>
              <w:t>E:31.04.01</w:t>
            </w:r>
          </w:p>
          <w:p>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主要负责人变更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注册地址变更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经营地址变更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临时场所地址变更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认证范围变更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highlight w:val="none"/>
              </w:rPr>
            </w:pPr>
            <w:r>
              <w:rPr>
                <w:rFonts w:hint="eastAsia"/>
                <w:highlight w:val="none"/>
              </w:rPr>
              <w:t>体系员工人数较大变更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设备设施重大变更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产品/工艺重大变更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上次不符合为：行政部E8.1条款。货运部O8.1条款。已完成整改，且无类似问题再次发生，整改有效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pPr>
        <w:rPr>
          <w:highlight w:val="none"/>
        </w:rPr>
      </w:pPr>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rPr>
          <w:highlight w:val="none"/>
        </w:rPr>
      </w:pPr>
      <w:r>
        <w:rPr>
          <w:rFonts w:hint="eastAsia"/>
          <w:highlight w:val="none"/>
        </w:rPr>
        <w:t>注2：本次审核开具的不符合项，分布见相关管理体系附件。</w:t>
      </w:r>
    </w:p>
    <w:p>
      <w:pPr>
        <w:ind w:firstLine="210" w:firstLineChars="100"/>
        <w:rPr>
          <w:highlight w:val="none"/>
        </w:rPr>
      </w:pPr>
      <w:r>
        <w:rPr>
          <w:rFonts w:hint="eastAsia"/>
          <w:highlight w:val="none"/>
        </w:rPr>
        <w:t>注3：本次审核发现不符合及存在问题对管理体系实现目标的影响□较大</w:t>
      </w:r>
      <w:r>
        <w:rPr>
          <w:rFonts w:hint="eastAsia" w:ascii="宋体" w:hAnsi="宋体" w:eastAsia="宋体" w:cs="宋体"/>
          <w:highlight w:val="none"/>
        </w:rPr>
        <w:t>■</w:t>
      </w:r>
      <w:r>
        <w:rPr>
          <w:rFonts w:hint="eastAsia"/>
          <w:highlight w:val="none"/>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许可范围内的普通货运。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许可范围内的普通货运所涉及的相关环境管理活动。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许可范围内的普通货运所涉及的相关职业健康安全管理活动。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344170</wp:posOffset>
                  </wp:positionH>
                  <wp:positionV relativeFrom="paragraph">
                    <wp:posOffset>61595</wp:posOffset>
                  </wp:positionV>
                  <wp:extent cx="736600" cy="360045"/>
                  <wp:effectExtent l="0" t="0" r="0" b="8255"/>
                  <wp:wrapNone/>
                  <wp:docPr id="1"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1"/>
                          <pic:cNvPicPr>
                            <a:picLocks noChangeAspect="1"/>
                          </pic:cNvPicPr>
                        </pic:nvPicPr>
                        <pic:blipFill>
                          <a:blip r:embed="rId6"/>
                          <a:stretch>
                            <a:fillRect/>
                          </a:stretch>
                        </pic:blipFill>
                        <pic:spPr>
                          <a:xfrm>
                            <a:off x="0" y="0"/>
                            <a:ext cx="736600" cy="36004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2022年9月3日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 xml:space="preserve">□人员培训 </w:t>
            </w:r>
            <w:r>
              <w:rPr>
                <w:rFonts w:hint="eastAsia" w:ascii="宋体" w:hAnsi="宋体" w:eastAsia="宋体" w:cs="宋体"/>
              </w:rPr>
              <w:t>■</w:t>
            </w:r>
            <w:r>
              <w:rPr>
                <w:rFonts w:hint="eastAsia"/>
                <w:highlight w:val="none"/>
                <w:u w:val="none"/>
                <w:lang w:val="en-US" w:eastAsia="zh-CN"/>
              </w:rPr>
              <w:t>货物运输业务</w:t>
            </w:r>
            <w:r>
              <w:rPr>
                <w:rFonts w:hint="eastAsia" w:ascii="宋体" w:hAnsi="宋体" w:eastAsia="宋体" w:cs="宋体"/>
                <w:highlight w:val="none"/>
                <w:u w:val="none"/>
                <w:lang w:val="en-US" w:eastAsia="zh-CN"/>
              </w:rPr>
              <w:t>■</w:t>
            </w:r>
            <w:r>
              <w:rPr>
                <w:rFonts w:hint="eastAsia"/>
                <w:highlight w:val="none"/>
                <w:u w:val="none"/>
                <w:lang w:val="en-US" w:eastAsia="zh-CN"/>
              </w:rPr>
              <w:t>货运车辆保养维护</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科学领先，顾客满意，持续改进，行业领先，服务一流；预防为主，遵规守法，确保环境安全；以人为本，持续改进，实现平安和谐</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货运部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服务质量不良造成客户流失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质量管理部门、业务管理部门需与客户沟通好服务质量要求，并编制作业指导书，确保公司与客户双方质量要求一致；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负责业务人员不定期拜访客户，沟通客户要求，确保服务质量满足客户要求。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3129"/>
              <w:gridCol w:w="13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29"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47"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861"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2"/>
                    <w:rPr>
                      <w:highlight w:val="none"/>
                    </w:rPr>
                  </w:pPr>
                  <w:r>
                    <w:rPr>
                      <w:rFonts w:hint="eastAsia"/>
                      <w:color w:val="000000"/>
                      <w:sz w:val="21"/>
                      <w:szCs w:val="21"/>
                      <w:highlight w:val="none"/>
                    </w:rPr>
                    <w:t>（</w:t>
                  </w:r>
                  <w:r>
                    <w:rPr>
                      <w:rFonts w:hint="eastAsia"/>
                      <w:color w:val="000000"/>
                      <w:sz w:val="21"/>
                      <w:szCs w:val="21"/>
                      <w:highlight w:val="none"/>
                      <w:lang w:val="en-US" w:eastAsia="zh-CN"/>
                    </w:rPr>
                    <w:t>2022.1-2022.8</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5" w:type="dxa"/>
                  <w:shd w:val="clear" w:color="auto" w:fill="auto"/>
                  <w:vAlign w:val="top"/>
                </w:tcPr>
                <w:p>
                  <w:pPr>
                    <w:shd w:val="clear" w:color="auto" w:fill="C7DAF1" w:themeFill="text2" w:themeFillTint="32"/>
                    <w:rPr>
                      <w:rFonts w:hint="eastAsia" w:ascii="宋体" w:hAnsi="宋体"/>
                      <w:highlight w:val="none"/>
                      <w:lang w:val="en-US" w:eastAsia="zh-CN"/>
                    </w:rPr>
                  </w:pPr>
                  <w:r>
                    <w:rPr>
                      <w:rFonts w:hint="eastAsia" w:ascii="宋体" w:hAnsi="宋体"/>
                      <w:highlight w:val="none"/>
                    </w:rPr>
                    <w:t>合同履行率100%</w:t>
                  </w:r>
                </w:p>
              </w:tc>
              <w:tc>
                <w:tcPr>
                  <w:tcW w:w="3129"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GB"/>
                    </w:rPr>
                    <w:t>按时完成数/合同总数*100%</w:t>
                  </w:r>
                </w:p>
              </w:tc>
              <w:tc>
                <w:tcPr>
                  <w:tcW w:w="1347"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861"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85" w:type="dxa"/>
                  <w:shd w:val="clear" w:color="auto" w:fill="auto"/>
                  <w:vAlign w:val="top"/>
                </w:tcPr>
                <w:p>
                  <w:pPr>
                    <w:shd w:val="clear" w:color="auto" w:fill="C7DAF1" w:themeFill="text2" w:themeFillTint="32"/>
                    <w:rPr>
                      <w:rFonts w:hint="eastAsia" w:ascii="宋体" w:hAnsi="宋体"/>
                      <w:highlight w:val="none"/>
                      <w:lang w:val="en-US" w:eastAsia="zh-CN"/>
                    </w:rPr>
                  </w:pPr>
                  <w:r>
                    <w:rPr>
                      <w:rFonts w:hint="eastAsia" w:ascii="宋体" w:hAnsi="宋体"/>
                      <w:highlight w:val="none"/>
                    </w:rPr>
                    <w:t>顾客满意率≥90分</w:t>
                  </w:r>
                </w:p>
              </w:tc>
              <w:tc>
                <w:tcPr>
                  <w:tcW w:w="3129"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rPr>
                    <w:t>满意得分和/总调查数</w:t>
                  </w:r>
                </w:p>
              </w:tc>
              <w:tc>
                <w:tcPr>
                  <w:tcW w:w="1347"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行政部</w:t>
                  </w:r>
                </w:p>
              </w:tc>
              <w:tc>
                <w:tcPr>
                  <w:tcW w:w="1861"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tcPr>
                <w:p>
                  <w:pPr>
                    <w:shd w:val="clear" w:color="auto" w:fill="C7DAF1" w:themeFill="text2" w:themeFillTint="32"/>
                    <w:rPr>
                      <w:highlight w:val="none"/>
                    </w:rPr>
                  </w:pPr>
                </w:p>
              </w:tc>
              <w:tc>
                <w:tcPr>
                  <w:tcW w:w="3129" w:type="dxa"/>
                  <w:shd w:val="clear" w:color="auto" w:fill="auto"/>
                  <w:vAlign w:val="center"/>
                </w:tcPr>
                <w:p>
                  <w:pPr>
                    <w:shd w:val="clear" w:color="auto" w:fill="C7DAF1" w:themeFill="text2" w:themeFillTint="32"/>
                    <w:rPr>
                      <w:rFonts w:ascii="宋体" w:hAnsi="宋体"/>
                      <w:highlight w:val="none"/>
                    </w:rPr>
                  </w:pPr>
                </w:p>
              </w:tc>
              <w:tc>
                <w:tcPr>
                  <w:tcW w:w="1347" w:type="dxa"/>
                  <w:shd w:val="clear" w:color="auto" w:fill="auto"/>
                  <w:vAlign w:val="center"/>
                </w:tcPr>
                <w:p>
                  <w:pPr>
                    <w:shd w:val="clear" w:color="auto" w:fill="C7DAF1" w:themeFill="text2" w:themeFillTint="32"/>
                    <w:rPr>
                      <w:rFonts w:ascii="宋体" w:hAnsi="宋体"/>
                      <w:highlight w:val="none"/>
                    </w:rPr>
                  </w:pPr>
                </w:p>
              </w:tc>
              <w:tc>
                <w:tcPr>
                  <w:tcW w:w="1861" w:type="dxa"/>
                  <w:shd w:val="clear" w:color="auto" w:fill="auto"/>
                  <w:vAlign w:val="center"/>
                </w:tcPr>
                <w:p>
                  <w:pPr>
                    <w:shd w:val="clear" w:color="auto" w:fill="C7DAF1" w:themeFill="text2" w:themeFillTint="32"/>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5" w:type="dxa"/>
                  <w:shd w:val="clear" w:color="auto" w:fill="auto"/>
                </w:tcPr>
                <w:p>
                  <w:pPr>
                    <w:shd w:val="clear" w:color="auto" w:fill="C7DAF1" w:themeFill="text2" w:themeFillTint="32"/>
                    <w:rPr>
                      <w:highlight w:val="none"/>
                    </w:rPr>
                  </w:pPr>
                </w:p>
              </w:tc>
              <w:tc>
                <w:tcPr>
                  <w:tcW w:w="3129" w:type="dxa"/>
                  <w:shd w:val="clear" w:color="auto" w:fill="auto"/>
                  <w:vAlign w:val="center"/>
                </w:tcPr>
                <w:p>
                  <w:pPr>
                    <w:shd w:val="clear" w:color="auto" w:fill="C7DAF1" w:themeFill="text2" w:themeFillTint="32"/>
                    <w:rPr>
                      <w:rFonts w:ascii="宋体" w:hAnsi="宋体"/>
                      <w:highlight w:val="none"/>
                    </w:rPr>
                  </w:pPr>
                </w:p>
              </w:tc>
              <w:tc>
                <w:tcPr>
                  <w:tcW w:w="1347" w:type="dxa"/>
                  <w:shd w:val="clear" w:color="auto" w:fill="auto"/>
                  <w:vAlign w:val="center"/>
                </w:tcPr>
                <w:p>
                  <w:pPr>
                    <w:shd w:val="clear" w:color="auto" w:fill="C7DAF1" w:themeFill="text2" w:themeFillTint="32"/>
                    <w:rPr>
                      <w:rFonts w:ascii="宋体" w:hAnsi="宋体"/>
                      <w:highlight w:val="none"/>
                    </w:rPr>
                  </w:pPr>
                </w:p>
              </w:tc>
              <w:tc>
                <w:tcPr>
                  <w:tcW w:w="1861" w:type="dxa"/>
                  <w:shd w:val="clear" w:color="auto" w:fill="auto"/>
                  <w:vAlign w:val="center"/>
                </w:tcPr>
                <w:p>
                  <w:pPr>
                    <w:shd w:val="clear" w:color="auto" w:fill="C7DAF1" w:themeFill="text2" w:themeFillTint="32"/>
                    <w:jc w:val="center"/>
                    <w:rPr>
                      <w:rFonts w:ascii="宋体" w:hAnsi="宋体"/>
                      <w:highlight w:val="none"/>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yellow"/>
              </w:rPr>
            </w:pPr>
            <w:r>
              <w:rPr>
                <w:rFonts w:hint="eastAsia"/>
                <w:highlight w:val="none"/>
                <w:lang w:eastAsia="zh-CN"/>
              </w:rPr>
              <w:t>建筑面积 150  平方米；生产车间   个；库房    个；实验室   个</w:t>
            </w:r>
            <w:r>
              <w:rPr>
                <w:rFonts w:hint="eastAsia"/>
                <w:highlight w:val="none"/>
              </w:rPr>
              <w:t>；</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汽车、电脑及办公设备</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rFonts w:hint="default"/>
                <w:highlight w:val="none"/>
                <w:u w:val="single"/>
                <w:lang w:val="en-US"/>
              </w:rPr>
            </w:pPr>
            <w:r>
              <w:rPr>
                <w:rFonts w:hint="eastAsia"/>
                <w:highlight w:val="none"/>
              </w:rPr>
              <w:t>国家强检的计量器具有：</w:t>
            </w:r>
            <w:r>
              <w:rPr>
                <w:rFonts w:hint="eastAsia" w:ascii="宋体"/>
                <w:color w:val="000000"/>
                <w:sz w:val="21"/>
                <w:szCs w:val="21"/>
                <w:highlight w:val="none"/>
                <w:u w:val="single"/>
                <w:lang w:val="en-US" w:eastAsia="zh-CN"/>
              </w:rPr>
              <w:t xml:space="preserve">  </w:t>
            </w:r>
            <w:r>
              <w:rPr>
                <w:rFonts w:hint="eastAsia"/>
                <w:highlight w:val="none"/>
                <w:u w:val="single"/>
                <w:lang w:val="en-US" w:eastAsia="zh-CN"/>
              </w:rPr>
              <w:t xml:space="preserve">                     </w:t>
            </w:r>
            <w:r>
              <w:rPr>
                <w:rFonts w:hint="eastAsia" w:ascii="宋体"/>
                <w:color w:val="000000"/>
                <w:sz w:val="21"/>
                <w:szCs w:val="21"/>
                <w:highlight w:val="none"/>
                <w:u w:val="single"/>
                <w:lang w:val="en-US" w:eastAsia="zh-CN"/>
              </w:rPr>
              <w:t xml:space="preserve">        </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rPr>
              <w:t>组织对外部提供的过程、产品和</w:t>
            </w:r>
            <w:r>
              <w:rPr>
                <w:rFonts w:hint="eastAsia"/>
                <w:highlight w:val="none"/>
              </w:rPr>
              <w:t>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rFonts w:hint="default"/>
                <w:lang w:val="en-US"/>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vAlign w:val="top"/>
                </w:tcPr>
                <w:p>
                  <w:pPr>
                    <w:shd w:val="clear" w:color="auto" w:fill="C7DAF1" w:themeFill="text2" w:themeFillTint="32"/>
                    <w:jc w:val="left"/>
                    <w:rPr>
                      <w:rFonts w:hint="eastAsia"/>
                      <w:lang w:val="en-US" w:eastAsia="zh-CN"/>
                    </w:rPr>
                  </w:pPr>
                  <w:r>
                    <w:rPr>
                      <w:rFonts w:hint="eastAsia"/>
                    </w:rPr>
                    <w:t>许可范围内的普通货运</w:t>
                  </w:r>
                </w:p>
              </w:tc>
              <w:tc>
                <w:tcPr>
                  <w:tcW w:w="2303" w:type="dxa"/>
                  <w:vAlign w:val="top"/>
                </w:tcPr>
                <w:p>
                  <w:pPr>
                    <w:shd w:val="clear" w:color="auto" w:fill="C7DAF1" w:themeFill="text2" w:themeFillTint="32"/>
                    <w:jc w:val="left"/>
                    <w:rPr>
                      <w:rFonts w:hint="default"/>
                      <w:lang w:val="en-US" w:eastAsia="zh-CN"/>
                    </w:rPr>
                  </w:pPr>
                  <w:r>
                    <w:rPr>
                      <w:rFonts w:hint="eastAsia"/>
                      <w:lang w:val="en-US" w:eastAsia="zh-CN"/>
                    </w:rPr>
                    <w:t>运输过程</w:t>
                  </w:r>
                </w:p>
              </w:tc>
              <w:tc>
                <w:tcPr>
                  <w:tcW w:w="3265" w:type="dxa"/>
                  <w:vAlign w:val="top"/>
                </w:tcPr>
                <w:p>
                  <w:pPr>
                    <w:shd w:val="clear" w:color="auto" w:fill="C7DAF1" w:themeFill="text2" w:themeFillTint="32"/>
                    <w:jc w:val="left"/>
                    <w:rPr>
                      <w:rFonts w:hint="eastAsia"/>
                      <w:lang w:val="en-US" w:eastAsia="zh-CN"/>
                    </w:rPr>
                  </w:pPr>
                  <w:r>
                    <w:rPr>
                      <w:rFonts w:hint="eastAsia"/>
                      <w:lang w:val="en-US" w:eastAsia="zh-CN"/>
                    </w:rPr>
                    <w:t>运输路线，车辆维护保养，货物防护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rPr>
              <w:t xml:space="preserve"> ，</w:t>
            </w:r>
          </w:p>
          <w:p>
            <w:pPr>
              <w:shd w:val="clear" w:color="auto" w:fill="C7DAF1" w:themeFill="text2" w:themeFillTint="32"/>
              <w:jc w:val="left"/>
              <w:rPr>
                <w:rFonts w:hint="default"/>
                <w:highlight w:val="none"/>
                <w:lang w:val="en-US"/>
              </w:rPr>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highlight w:val="none"/>
                <w:u w:val="single"/>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宋体" w:hAnsi="宋体" w:eastAsia="宋体" w:cs="宋体"/>
                <w:lang w:eastAsia="zh-CN"/>
              </w:rPr>
              <w:t>■</w:t>
            </w:r>
            <w:r>
              <w:rPr>
                <w:rFonts w:hint="eastAsia"/>
              </w:rPr>
              <w:t xml:space="preserve">赔偿 </w:t>
            </w:r>
            <w:r>
              <w:rPr>
                <w:rFonts w:hint="eastAsia" w:ascii="宋体" w:hAnsi="宋体" w:eastAsia="宋体" w:cs="宋体"/>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2022年4月25日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2022年5月15日</w:t>
            </w:r>
            <w:r>
              <w:rPr>
                <w:rFonts w:hint="eastAsia"/>
                <w:highlight w:val="none"/>
              </w:rPr>
              <w:t>对组织的质量管理体系进行了评审，以确保其持续的适宜性、充分性和有效</w:t>
            </w:r>
            <w:r>
              <w:rPr>
                <w:rFonts w:hint="eastAsia"/>
              </w:rPr>
              <w:t>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宋体" w:hAnsi="宋体" w:eastAsia="宋体" w:cs="宋体"/>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r>
              <w:rPr>
                <w:rFonts w:hint="eastAsia"/>
                <w:highlight w:val="none"/>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highlight w:val="none"/>
                <w:lang w:val="en-US" w:eastAsia="ja-JP" w:bidi="ar-SA"/>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□环保监测 □产品运输 </w:t>
            </w:r>
            <w:r>
              <w:rPr>
                <w:rFonts w:hint="eastAsia"/>
                <w:lang w:val="en-US" w:eastAsia="zh-CN"/>
              </w:rPr>
              <w:t>■货物运输业务 ■货运车辆保养维护</w:t>
            </w:r>
          </w:p>
          <w:p>
            <w:pPr>
              <w:shd w:val="clear" w:color="auto" w:fill="EBF1DE" w:themeFill="accent3" w:themeFillTint="32"/>
              <w:spacing w:before="40" w:after="40"/>
            </w:pP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rPr>
              <w:t>最高管理者确定并证实了对环境管理体系的领</w:t>
            </w:r>
            <w:r>
              <w:rPr>
                <w:rFonts w:hint="eastAsia"/>
                <w:highlight w:val="none"/>
              </w:rPr>
              <w:t>导作用与承诺；为了证明领导作用和承诺，最高管理者负有环境管理体系有关的特定职责，亲自参与或进行指导。通过——</w:t>
            </w:r>
          </w:p>
          <w:p>
            <w:pPr>
              <w:shd w:val="clear" w:color="auto" w:fill="EBF1DE" w:themeFill="accent3" w:themeFillTint="32"/>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w:t>
            </w:r>
            <w:r>
              <w:rPr>
                <w:rFonts w:hint="eastAsia"/>
              </w:rPr>
              <w:t xml:space="preserve">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科学领先，顾客满意，持续改进，行业领先，服务一流；预防为主，遵规守法，确保环境安全；以人为本，持续改进，实现平安和谐</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p>
              </w:tc>
              <w:tc>
                <w:tcPr>
                  <w:tcW w:w="3965" w:type="dxa"/>
                  <w:vAlign w:val="top"/>
                </w:tcPr>
                <w:p>
                  <w:pPr>
                    <w:shd w:val="clear" w:color="auto" w:fill="EBF1DE" w:themeFill="accent3" w:themeFillTint="32"/>
                    <w:rPr>
                      <w:rFonts w:hint="eastAsia" w:ascii="Times New Roman" w:hAnsi="Times New Roman" w:eastAsia="宋体" w:cs="Times New Roman"/>
                    </w:rPr>
                  </w:pPr>
                </w:p>
              </w:tc>
              <w:tc>
                <w:tcPr>
                  <w:tcW w:w="1717" w:type="dxa"/>
                  <w:vAlign w:val="top"/>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ascii="宋体" w:hAnsi="宋体" w:eastAsia="宋体" w:cs="宋体"/>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rPr>
                    <w:t>火灾发生率为0</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rPr>
                    <w:t>固废处置合规率100%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宋体" w:hAnsi="宋体" w:eastAsia="宋体" w:cs="宋体"/>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w:t>
            </w:r>
            <w:r>
              <w:rPr>
                <w:rFonts w:hint="eastAsia" w:ascii="Times New Roman" w:hAnsi="Times New Roman" w:eastAsia="宋体" w:cs="Times New Roman"/>
                <w:highlight w:val="none"/>
              </w:rPr>
              <w:t>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150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r>
              <w:rPr>
                <w:rFonts w:hint="eastAsia" w:ascii="Times New Roman" w:hAnsi="Times New Roman" w:eastAsia="宋体" w:cs="Times New Roman"/>
                <w:highlight w:val="none"/>
              </w:rPr>
              <w:t>；</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汽车、电脑及办公设备</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宋体" w:hAnsi="宋体" w:eastAsia="宋体" w:cs="宋体"/>
                <w:lang w:eastAsia="zh-CN"/>
              </w:rPr>
              <w:t>■</w:t>
            </w:r>
            <w:r>
              <w:rPr>
                <w:rFonts w:hint="eastAsia"/>
              </w:rPr>
              <w:t xml:space="preserve">设备维保  </w:t>
            </w:r>
            <w:r>
              <w:rPr>
                <w:rFonts w:hint="eastAsia" w:ascii="宋体" w:hAnsi="宋体" w:eastAsia="宋体" w:cs="宋体"/>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rPr>
                    <w:t>能源</w:t>
                  </w:r>
                  <w:r>
                    <w:rPr>
                      <w:rFonts w:hint="eastAsia"/>
                      <w:lang w:eastAsia="zh-CN"/>
                    </w:rPr>
                    <w:t>、</w:t>
                  </w:r>
                  <w:r>
                    <w:rPr>
                      <w:rFonts w:hint="eastAsia"/>
                      <w:lang w:val="en-US" w:eastAsia="zh-CN"/>
                    </w:rPr>
                    <w:t>资源</w:t>
                  </w:r>
                  <w:r>
                    <w:rPr>
                      <w:rFonts w:hint="eastAsia"/>
                    </w:rPr>
                    <w:t>消耗</w:t>
                  </w:r>
                </w:p>
              </w:tc>
              <w:tc>
                <w:tcPr>
                  <w:tcW w:w="325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固体废弃物排放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99" w:type="dxa"/>
                  <w:vAlign w:val="top"/>
                </w:tcPr>
                <w:p>
                  <w:pPr>
                    <w:widowControl/>
                    <w:spacing w:before="40"/>
                    <w:jc w:val="left"/>
                    <w:rPr>
                      <w:rFonts w:hint="eastAsia" w:ascii="Times New Roman" w:hAnsi="Times New Roman" w:eastAsia="宋体" w:cs="Times New Roman"/>
                      <w:color w:val="000000"/>
                      <w:szCs w:val="18"/>
                      <w:highlight w:val="none"/>
                      <w:lang w:eastAsia="zh-CN"/>
                    </w:rPr>
                  </w:pPr>
                  <w:r>
                    <w:rPr>
                      <w:rFonts w:hint="eastAsia"/>
                    </w:rPr>
                    <w:t>噪声排放</w:t>
                  </w:r>
                </w:p>
              </w:tc>
              <w:tc>
                <w:tcPr>
                  <w:tcW w:w="3258" w:type="dxa"/>
                </w:tcPr>
                <w:p>
                  <w:pPr>
                    <w:shd w:val="clear" w:color="auto" w:fill="EBF1DE" w:themeFill="accent3" w:themeFillTint="32"/>
                    <w:jc w:val="left"/>
                    <w:rPr>
                      <w:rFonts w:hint="eastAsia"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2022年5月13日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highlight w:val="none"/>
              </w:rPr>
              <w:t>并总结</w:t>
            </w:r>
            <w:r>
              <w:rPr>
                <w:rFonts w:hint="eastAsia"/>
              </w:rPr>
              <w:t xml:space="preserve">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default" w:eastAsia="方正仿宋简体"/>
                <w:b w:val="0"/>
                <w:bCs/>
                <w:highlight w:val="none"/>
                <w:u w:val="single"/>
                <w:lang w:val="en-US" w:eastAsia="zh-CN"/>
              </w:rPr>
            </w:pPr>
            <w:r>
              <w:rPr>
                <w:rFonts w:hint="eastAsia"/>
                <w:highlight w:val="none"/>
                <w:lang w:eastAsia="zh-CN"/>
              </w:rPr>
              <w:t>■</w:t>
            </w:r>
            <w:r>
              <w:rPr>
                <w:rFonts w:hint="eastAsia"/>
                <w:highlight w:val="none"/>
              </w:rPr>
              <w:t>定期（每年）：</w:t>
            </w:r>
            <w:r>
              <w:rPr>
                <w:rFonts w:hint="eastAsia" w:ascii="方正仿宋简体" w:eastAsia="方正仿宋简体"/>
                <w:b w:val="0"/>
                <w:bCs/>
                <w:highlight w:val="none"/>
                <w:u w:val="single"/>
                <w:lang w:eastAsia="zh-CN"/>
              </w:rPr>
              <w:t>2022年4月16日</w:t>
            </w:r>
            <w:r>
              <w:rPr>
                <w:rFonts w:hint="eastAsia" w:ascii="方正仿宋简体" w:eastAsia="方正仿宋简体"/>
                <w:b w:val="0"/>
                <w:bCs/>
                <w:highlight w:val="none"/>
                <w:u w:val="single"/>
                <w:lang w:val="en-US" w:eastAsia="zh-CN"/>
              </w:rPr>
              <w:t>。</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cs="Times New Roman"/>
                <w:color w:val="000000"/>
                <w:szCs w:val="18"/>
                <w:highlight w:val="none"/>
                <w:u w:val="single"/>
                <w:lang w:eastAsia="zh-CN"/>
              </w:rPr>
              <w:t>2022年4月25日</w:t>
            </w:r>
            <w:r>
              <w:rPr>
                <w:rFonts w:hint="eastAsia"/>
                <w:highlight w:val="none"/>
              </w:rPr>
              <w:t>实</w:t>
            </w:r>
            <w:r>
              <w:rPr>
                <w:rFonts w:hint="eastAsia"/>
                <w:highlight w:val="none"/>
              </w:rPr>
              <w:t>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w:t>
            </w:r>
            <w:r>
              <w:rPr>
                <w:rFonts w:hint="eastAsia"/>
                <w:highlight w:val="none"/>
              </w:rPr>
              <w:t>在</w:t>
            </w:r>
            <w:r>
              <w:rPr>
                <w:rFonts w:hint="eastAsia" w:cs="Times New Roman"/>
                <w:color w:val="000000"/>
                <w:szCs w:val="18"/>
                <w:highlight w:val="none"/>
                <w:u w:val="single"/>
                <w:lang w:eastAsia="zh-CN"/>
              </w:rPr>
              <w:t>2022年5月15日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w:t>
            </w:r>
            <w:r>
              <w:rPr>
                <w:rFonts w:hint="eastAsia"/>
                <w:lang w:val="en-US" w:eastAsia="zh-CN"/>
              </w:rPr>
              <w:t>检测 □生产/服务过程 □安全监测</w:t>
            </w:r>
            <w:r>
              <w:rPr>
                <w:rFonts w:hint="eastAsia"/>
                <w:lang w:val="en-US" w:eastAsia="zh-CN"/>
              </w:rPr>
              <w:t xml:space="preserve"> ■</w:t>
            </w:r>
            <w:r>
              <w:rPr>
                <w:rFonts w:hint="eastAsia"/>
                <w:lang w:val="en-US" w:eastAsia="zh-CN"/>
              </w:rPr>
              <w:t>货物运输业务 ■货运车辆保养维护</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科学领先，顾客满意，持续改进，行业领先，服务一流；预防为主，遵规守法，确保环境安全；以人为本，持续改进，实现平安和谐</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—李祥华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货运过程</w:t>
                  </w:r>
                </w:p>
              </w:tc>
              <w:tc>
                <w:tcPr>
                  <w:tcW w:w="3965"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szCs w:val="18"/>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highlight w:val="yellow"/>
                      <w:lang w:val="en-US" w:eastAsia="zh-CN"/>
                    </w:rPr>
                  </w:pPr>
                  <w:r>
                    <w:rPr>
                      <w:rFonts w:hint="eastAsia" w:ascii="宋体" w:hAnsi="宋体"/>
                      <w:color w:val="auto"/>
                      <w:szCs w:val="21"/>
                      <w:lang w:val="en-US" w:eastAsia="zh-CN"/>
                    </w:rPr>
                    <w:t>交通意外伤害</w:t>
                  </w:r>
                </w:p>
              </w:tc>
              <w:tc>
                <w:tcPr>
                  <w:tcW w:w="396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宋体" w:hAnsi="宋体"/>
                      <w:color w:val="auto"/>
                      <w:szCs w:val="21"/>
                      <w:lang w:val="en-US" w:eastAsia="zh-CN"/>
                    </w:rPr>
                  </w:pPr>
                </w:p>
              </w:tc>
              <w:tc>
                <w:tcPr>
                  <w:tcW w:w="3965"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ascii="宋体" w:hAnsi="宋体" w:eastAsia="宋体" w:cs="宋体"/>
              </w:rPr>
              <w:t>■</w:t>
            </w:r>
            <w:r>
              <w:rPr>
                <w:rFonts w:hint="eastAsia"/>
                <w:highlight w:val="none"/>
              </w:rPr>
              <w:t>其他</w:t>
            </w:r>
            <w:r>
              <w:rPr>
                <w:rFonts w:hint="eastAsia"/>
                <w:highlight w:val="none"/>
                <w:lang w:eastAsia="zh-CN"/>
              </w:rPr>
              <w:t>：</w:t>
            </w:r>
            <w:r>
              <w:rPr>
                <w:rFonts w:hint="eastAsia" w:ascii="Times New Roman" w:hAnsi="Times New Roman" w:eastAsia="宋体" w:cs="Times New Roman"/>
                <w:bCs/>
                <w:spacing w:val="10"/>
                <w:kern w:val="2"/>
                <w:sz w:val="21"/>
                <w:szCs w:val="21"/>
                <w:highlight w:val="none"/>
                <w:lang w:val="en-US" w:eastAsia="zh-CN" w:bidi="ar-SA"/>
              </w:rPr>
              <w:t>交通重大伤亡事故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火灾发生率为0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员工意外伤害为0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p>
              </w:tc>
              <w:tc>
                <w:tcPr>
                  <w:tcW w:w="3136" w:type="dxa"/>
                  <w:shd w:val="clear" w:color="auto" w:fill="auto"/>
                  <w:vAlign w:val="center"/>
                </w:tcPr>
                <w:p>
                  <w:pPr>
                    <w:rPr>
                      <w:rFonts w:ascii="宋体" w:hAnsi="宋体" w:eastAsia="宋体" w:cs="Times New Roman"/>
                      <w:kern w:val="2"/>
                      <w:sz w:val="21"/>
                      <w:szCs w:val="24"/>
                      <w:highlight w:val="none"/>
                      <w:lang w:val="en-US" w:eastAsia="zh-CN" w:bidi="ar-SA"/>
                    </w:rPr>
                  </w:pPr>
                </w:p>
              </w:tc>
              <w:tc>
                <w:tcPr>
                  <w:tcW w:w="1350" w:type="dxa"/>
                  <w:shd w:val="clear" w:color="auto" w:fill="auto"/>
                  <w:vAlign w:val="center"/>
                </w:tcPr>
                <w:p>
                  <w:pPr>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宋体" w:hAnsi="宋体"/>
                      <w:color w:val="auto"/>
                      <w:szCs w:val="21"/>
                    </w:rPr>
                  </w:pPr>
                </w:p>
              </w:tc>
              <w:tc>
                <w:tcPr>
                  <w:tcW w:w="3136"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350" w:type="dxa"/>
                  <w:shd w:val="clear" w:color="auto" w:fill="auto"/>
                  <w:vAlign w:val="center"/>
                </w:tcPr>
                <w:p>
                  <w:pPr>
                    <w:rPr>
                      <w:rFonts w:hint="eastAsia" w:ascii="宋体" w:hAnsi="宋体"/>
                      <w:highlight w:val="none"/>
                      <w:lang w:val="en-US" w:eastAsia="zh-CN"/>
                    </w:rPr>
                  </w:pPr>
                </w:p>
              </w:tc>
              <w:tc>
                <w:tcPr>
                  <w:tcW w:w="1774" w:type="dxa"/>
                  <w:shd w:val="clear" w:color="auto" w:fill="auto"/>
                  <w:vAlign w:val="center"/>
                </w:tcPr>
                <w:p>
                  <w:pPr>
                    <w:jc w:val="center"/>
                    <w:rPr>
                      <w:rFonts w:hint="eastAsia" w:ascii="宋体" w:hAnsi="宋体"/>
                      <w:highlight w:val="none"/>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应确定、提供并维护所需的基础设施情</w:t>
            </w:r>
            <w:r>
              <w:rPr>
                <w:rFonts w:hint="eastAsia" w:ascii="Times New Roman" w:hAnsi="Times New Roman" w:eastAsia="宋体" w:cs="Times New Roman"/>
                <w:highlight w:val="none"/>
              </w:rPr>
              <w:t>况：</w:t>
            </w:r>
          </w:p>
          <w:p>
            <w:pPr>
              <w:rPr>
                <w:rFonts w:hint="eastAsia" w:ascii="Times New Roman" w:hAnsi="Times New Roman" w:eastAsia="宋体" w:cs="Times New Roman"/>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150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r>
              <w:rPr>
                <w:rFonts w:hint="eastAsia" w:ascii="Times New Roman" w:hAnsi="Times New Roman" w:eastAsia="宋体" w:cs="Times New Roman"/>
                <w:highlight w:val="none"/>
              </w:rPr>
              <w:t>；</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汽车、电脑及办公设备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宋体" w:hAnsi="宋体" w:eastAsia="宋体" w:cs="宋体"/>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default" w:eastAsia="宋体"/>
                      <w:highlight w:val="none"/>
                      <w:lang w:val="en-US" w:eastAsia="zh-CN"/>
                    </w:rPr>
                  </w:pPr>
                  <w:r>
                    <w:rPr>
                      <w:rFonts w:hint="eastAsia" w:eastAsia="宋体"/>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r>
                    <w:rPr>
                      <w:rFonts w:hint="eastAsia" w:ascii="宋体" w:hAnsi="宋体" w:eastAsia="宋体" w:cs="宋体"/>
                      <w:highlight w:val="none"/>
                    </w:rPr>
                    <w:t>■</w:t>
                  </w:r>
                  <w:r>
                    <w:rPr>
                      <w:rFonts w:hint="eastAsia"/>
                      <w:lang w:val="en-US" w:eastAsia="zh-CN"/>
                    </w:rPr>
                    <w:t>应急演练</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宋体" w:hAnsi="宋体" w:eastAsia="宋体" w:cs="宋体"/>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highlight w:val="none"/>
              </w:rPr>
            </w:pPr>
            <w:r>
              <w:rPr>
                <w:rFonts w:hint="eastAsia" w:eastAsia="宋体"/>
                <w:highlight w:val="none"/>
              </w:rPr>
              <w:t>于</w:t>
            </w:r>
            <w:r>
              <w:rPr>
                <w:rFonts w:hint="eastAsia"/>
                <w:highlight w:val="none"/>
                <w:u w:val="single"/>
                <w:lang w:eastAsia="zh-CN"/>
              </w:rPr>
              <w:t>2022年5月13日</w:t>
            </w:r>
            <w:r>
              <w:rPr>
                <w:rFonts w:hint="eastAsia" w:eastAsia="宋体"/>
                <w:highlight w:val="none"/>
              </w:rPr>
              <w:t>进行了</w:t>
            </w:r>
            <w:r>
              <w:rPr>
                <w:rFonts w:hint="eastAsia" w:eastAsia="宋体"/>
                <w:highlight w:val="none"/>
              </w:rPr>
              <w:t xml:space="preserve">火灾消防的演练；并总结了预案的可行性和有效性。 </w:t>
            </w:r>
          </w:p>
          <w:p>
            <w:pPr>
              <w:rPr>
                <w:rFonts w:hint="eastAsia" w:eastAsia="宋体"/>
              </w:rPr>
            </w:pPr>
            <w:r>
              <w:rPr>
                <w:rFonts w:hint="eastAsia" w:eastAsia="宋体"/>
                <w:highlight w:val="none"/>
              </w:rPr>
              <w:t>定期评审并修订过程和策划的响应</w:t>
            </w:r>
            <w:r>
              <w:rPr>
                <w:rFonts w:hint="eastAsia" w:eastAsia="宋体"/>
              </w:rPr>
              <w:t xml:space="preserve">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方正仿宋简体" w:eastAsia="方正仿宋简体"/>
                <w:b w:val="0"/>
                <w:bCs/>
                <w:highlight w:val="none"/>
                <w:u w:val="single"/>
                <w:lang w:eastAsia="zh-CN"/>
              </w:rPr>
              <w:t>2022年4月16日</w:t>
            </w:r>
            <w:r>
              <w:rPr>
                <w:rFonts w:hint="eastAsia" w:ascii="方正仿宋简体" w:eastAsia="方正仿宋简体"/>
                <w:b w:val="0"/>
                <w:bCs/>
                <w:highlight w:val="none"/>
                <w:u w:val="single"/>
                <w:lang w:val="en-US" w:eastAsia="zh-CN"/>
              </w:rPr>
              <w:t>。</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cs="Times New Roman"/>
                <w:color w:val="000000"/>
                <w:szCs w:val="18"/>
                <w:highlight w:val="none"/>
                <w:u w:val="single"/>
                <w:lang w:eastAsia="zh-CN"/>
              </w:rPr>
              <w:t>2022年4月25日</w:t>
            </w:r>
            <w:r>
              <w:rPr>
                <w:rFonts w:hint="eastAsia"/>
                <w:highlight w:val="none"/>
              </w:rPr>
              <w:t>实施了职业健康安全管理体系内部审核，对职业健康安全管理体系的符合性和有效性进行了审核。内</w:t>
            </w:r>
            <w:r>
              <w:rPr>
                <w:rFonts w:hint="eastAsia"/>
                <w:highlight w:val="none"/>
              </w:rPr>
              <w:t xml:space="preserve">审发现的 </w:t>
            </w:r>
            <w:r>
              <w:rPr>
                <w:rFonts w:hint="eastAsia"/>
                <w:highlight w:val="none"/>
                <w:lang w:val="en-US" w:eastAsia="zh-CN"/>
              </w:rPr>
              <w:t>1</w:t>
            </w:r>
            <w:r>
              <w:rPr>
                <w:rFonts w:hint="eastAsia"/>
                <w:highlight w:val="none"/>
              </w:rPr>
              <w:t xml:space="preserve"> </w:t>
            </w:r>
            <w:r>
              <w:rPr>
                <w:rFonts w:hint="eastAsia"/>
                <w:highlight w:val="none"/>
              </w:rPr>
              <w:t>项不符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2022年5月15日</w:t>
            </w:r>
            <w:r>
              <w:rPr>
                <w:rFonts w:hint="eastAsia"/>
                <w:highlight w:val="none"/>
              </w:rPr>
              <w:t>对组</w:t>
            </w:r>
            <w:r>
              <w:rPr>
                <w:rFonts w:hint="eastAsia"/>
                <w:highlight w:val="none"/>
              </w:rPr>
              <w:t>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工伤事件</w:t>
            </w:r>
            <w:r>
              <w:rPr>
                <w:rFonts w:hint="eastAsia"/>
                <w:highlight w:val="none"/>
              </w:rPr>
              <w:t xml:space="preserve">  </w:t>
            </w:r>
            <w:r>
              <w:rPr>
                <w:rFonts w:hint="eastAsia" w:ascii="宋体" w:hAnsi="宋体" w:eastAsia="宋体" w:cs="宋体"/>
                <w:highlight w:val="none"/>
                <w:lang w:eastAsia="zh-CN"/>
              </w:rPr>
              <w:t>■</w:t>
            </w:r>
            <w:r>
              <w:rPr>
                <w:rFonts w:hint="eastAsia"/>
                <w:highlight w:val="none"/>
              </w:rPr>
              <w:t xml:space="preserve">职业病体检 </w:t>
            </w:r>
            <w:r>
              <w:rPr>
                <w:rFonts w:hint="eastAsia"/>
              </w:rPr>
              <w:t xml:space="preserve">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bookmarkStart w:id="30" w:name="_GoBack"/>
      <w:bookmarkEnd w:id="30"/>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AA02545"/>
    <w:rsid w:val="0DE33A8B"/>
    <w:rsid w:val="0E8E7516"/>
    <w:rsid w:val="1D5E1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19966</Words>
  <Characters>20921</Characters>
  <Lines>150</Lines>
  <Paragraphs>42</Paragraphs>
  <TotalTime>1</TotalTime>
  <ScaleCrop>false</ScaleCrop>
  <LinksUpToDate>false</LinksUpToDate>
  <CharactersWithSpaces>24002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2022-09-02T05:39:55Z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