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60" w:type="dxa"/>
            <w:vMerge w:val="restart"/>
            <w:vAlign w:val="center"/>
          </w:tcPr>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过程与活动、</w:t>
            </w:r>
          </w:p>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抽样计划</w:t>
            </w:r>
          </w:p>
        </w:tc>
        <w:tc>
          <w:tcPr>
            <w:tcW w:w="960" w:type="dxa"/>
            <w:vMerge w:val="restart"/>
            <w:vAlign w:val="center"/>
          </w:tcPr>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涉及</w:t>
            </w:r>
          </w:p>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条款</w:t>
            </w:r>
          </w:p>
        </w:tc>
        <w:tc>
          <w:tcPr>
            <w:tcW w:w="10376" w:type="dxa"/>
            <w:vAlign w:val="center"/>
          </w:tcPr>
          <w:p>
            <w:pP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 xml:space="preserve">受审核部门：管理层    主管领导： </w:t>
            </w:r>
            <w:r>
              <w:rPr>
                <w:rFonts w:hint="eastAsia" w:cs="Times New Roman"/>
                <w:color w:val="000000" w:themeColor="text1"/>
                <w:sz w:val="21"/>
                <w:szCs w:val="21"/>
                <w:lang w:val="en-US" w:eastAsia="zh-CN"/>
              </w:rPr>
              <w:t>总经理</w:t>
            </w:r>
            <w:r>
              <w:rPr>
                <w:rFonts w:hint="eastAsia" w:ascii="宋体" w:hAnsi="宋体"/>
                <w:lang w:val="en-US" w:eastAsia="zh-CN"/>
              </w:rPr>
              <w:t>管理者代表：</w:t>
            </w:r>
            <w:r>
              <w:rPr>
                <w:rFonts w:hint="eastAsia"/>
                <w:color w:val="000000" w:themeColor="text1"/>
                <w:szCs w:val="21"/>
              </w:rPr>
              <w:t xml:space="preserve"> </w:t>
            </w:r>
            <w:r>
              <w:rPr>
                <w:rFonts w:hint="eastAsia" w:ascii="宋体" w:hAnsi="宋体"/>
                <w:lang w:val="en-US" w:eastAsia="zh-CN"/>
              </w:rPr>
              <w:t>林伟</w:t>
            </w:r>
            <w:r>
              <w:rPr>
                <w:rFonts w:hint="eastAsia"/>
                <w:color w:val="000000" w:themeColor="text1"/>
                <w:szCs w:val="21"/>
              </w:rPr>
              <w:t xml:space="preserve">     陪同人员： </w:t>
            </w:r>
            <w:r>
              <w:rPr>
                <w:rFonts w:hint="eastAsia"/>
                <w:color w:val="000000" w:themeColor="text1"/>
                <w:szCs w:val="21"/>
                <w:lang w:val="en-US" w:eastAsia="zh-CN"/>
              </w:rPr>
              <w:t>王昭阳</w:t>
            </w:r>
          </w:p>
        </w:tc>
        <w:tc>
          <w:tcPr>
            <w:tcW w:w="1213" w:type="dxa"/>
            <w:vMerge w:val="restart"/>
            <w:vAlign w:val="center"/>
          </w:tcPr>
          <w:p>
            <w:pPr>
              <w:tabs>
                <w:tab w:val="center" w:pos="498"/>
              </w:tabs>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审核员：</w:t>
            </w:r>
            <w:r>
              <w:rPr>
                <w:rFonts w:hint="eastAsia" w:cs="Times New Roman"/>
                <w:color w:val="000000" w:themeColor="text1"/>
                <w:sz w:val="21"/>
                <w:szCs w:val="21"/>
                <w:lang w:val="en-US" w:eastAsia="zh-CN"/>
              </w:rPr>
              <w:t>范玲玲</w:t>
            </w:r>
            <w:r>
              <w:rPr>
                <w:rFonts w:hint="eastAsia" w:ascii="Times New Roman" w:hAnsi="Times New Roman" w:eastAsia="宋体" w:cs="Times New Roman"/>
                <w:color w:val="000000" w:themeColor="text1"/>
                <w:sz w:val="21"/>
                <w:szCs w:val="21"/>
                <w:lang w:val="en-US" w:eastAsia="zh-CN"/>
              </w:rPr>
              <w:t xml:space="preserve">       审核时间：2022-0</w:t>
            </w:r>
            <w:r>
              <w:rPr>
                <w:rFonts w:hint="eastAsia" w:cs="Times New Roman"/>
                <w:color w:val="000000" w:themeColor="text1"/>
                <w:sz w:val="21"/>
                <w:szCs w:val="21"/>
                <w:lang w:val="en-US" w:eastAsia="zh-CN"/>
              </w:rPr>
              <w:t>9</w:t>
            </w:r>
            <w:r>
              <w:rPr>
                <w:rFonts w:hint="eastAsia" w:ascii="Times New Roman" w:hAnsi="Times New Roman" w:eastAsia="宋体" w:cs="Times New Roman"/>
                <w:color w:val="000000" w:themeColor="text1"/>
                <w:sz w:val="21"/>
                <w:szCs w:val="21"/>
                <w:lang w:val="en-US" w:eastAsia="zh-CN"/>
              </w:rPr>
              <w:t>-</w:t>
            </w:r>
            <w:r>
              <w:rPr>
                <w:rFonts w:hint="eastAsia" w:cs="Times New Roman"/>
                <w:color w:val="000000" w:themeColor="text1"/>
                <w:sz w:val="21"/>
                <w:szCs w:val="21"/>
                <w:lang w:val="en-US" w:eastAsia="zh-CN"/>
              </w:rPr>
              <w:t>15</w:t>
            </w:r>
            <w:r>
              <w:rPr>
                <w:rFonts w:hint="eastAsia" w:ascii="Times New Roman" w:hAnsi="Times New Roman" w:eastAsia="宋体" w:cs="Times New Roman"/>
                <w:color w:val="000000" w:themeColor="text1"/>
                <w:sz w:val="21"/>
                <w:szCs w:val="21"/>
                <w:lang w:val="en-US" w:eastAsia="zh-CN"/>
              </w:rPr>
              <w:t xml:space="preserve"> </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tabs>
                <w:tab w:val="left" w:pos="709"/>
              </w:tabs>
              <w:ind w:right="57"/>
              <w:jc w:val="left"/>
              <w:rPr>
                <w:rFonts w:hint="default"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审核条款： 4.1 理解组织及其所处的环境、4.2理解相关方的需求和期望、4.3 确定能源管理体系的范围、4.4 能源管理体系、5.1 领导作用和承诺、5.2 能源方针、5.3 组织的岗位、职责和权限、6.1 应对风险和机遇的措施、7.1 资源</w:t>
            </w:r>
            <w:r>
              <w:rPr>
                <w:rFonts w:hint="eastAsia"/>
                <w:color w:val="000000" w:themeColor="text1"/>
                <w:sz w:val="21"/>
                <w:szCs w:val="21"/>
                <w:lang w:eastAsia="zh-CN"/>
              </w:rPr>
              <w:t>、</w:t>
            </w:r>
            <w:r>
              <w:rPr>
                <w:rFonts w:hint="eastAsia" w:ascii="Times New Roman" w:hAnsi="Times New Roman" w:cs="Times New Roman"/>
                <w:color w:val="000000" w:themeColor="text1"/>
                <w:szCs w:val="22"/>
                <w:lang w:val="en-US" w:eastAsia="zh-CN"/>
              </w:rPr>
              <w:t>9.3 管理评审</w:t>
            </w:r>
            <w:r>
              <w:rPr>
                <w:rFonts w:hint="eastAsia" w:cs="Times New Roman"/>
                <w:color w:val="000000" w:themeColor="text1"/>
                <w:szCs w:val="22"/>
                <w:lang w:val="en-US" w:eastAsia="zh-CN"/>
              </w:rPr>
              <w:t>、</w:t>
            </w:r>
            <w:r>
              <w:rPr>
                <w:rFonts w:hint="eastAsia" w:ascii="Times New Roman" w:hAnsi="Times New Roman" w:cs="Times New Roman"/>
                <w:color w:val="000000" w:themeColor="text1"/>
                <w:szCs w:val="22"/>
                <w:lang w:val="en-US" w:eastAsia="zh-CN"/>
              </w:rPr>
              <w:t>10.2 持续改进。</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000000" w:themeColor="text1"/>
              </w:rPr>
            </w:pPr>
            <w:r>
              <w:rPr>
                <w:rFonts w:hint="eastAsia" w:ascii="Times New Roman" w:hAnsi="Times New Roman" w:cs="Times New Roman"/>
                <w:color w:val="000000" w:themeColor="text1"/>
                <w:szCs w:val="22"/>
                <w:lang w:val="en-US" w:eastAsia="zh-CN"/>
              </w:rPr>
              <w:t>了解公司基本情况</w:t>
            </w:r>
          </w:p>
        </w:tc>
        <w:tc>
          <w:tcPr>
            <w:tcW w:w="960" w:type="dxa"/>
          </w:tcPr>
          <w:p>
            <w:pPr>
              <w:rPr>
                <w:color w:val="000000" w:themeColor="text1"/>
              </w:rPr>
            </w:pPr>
          </w:p>
        </w:tc>
        <w:tc>
          <w:tcPr>
            <w:tcW w:w="10376" w:type="dxa"/>
          </w:tcPr>
          <w:p>
            <w:pPr>
              <w:ind w:firstLine="420" w:firstLineChars="200"/>
              <w:rPr>
                <w:rFonts w:hint="eastAsia"/>
                <w:color w:val="000000" w:themeColor="text1"/>
                <w:lang w:val="en-US" w:eastAsia="zh-CN"/>
              </w:rPr>
            </w:pPr>
            <w:bookmarkStart w:id="0" w:name="组织名称"/>
            <w:r>
              <w:rPr>
                <w:rFonts w:hint="eastAsia"/>
                <w:sz w:val="21"/>
                <w:szCs w:val="21"/>
                <w:lang w:val="en-US" w:eastAsia="zh-CN"/>
              </w:rPr>
              <w:t>了解到</w:t>
            </w:r>
            <w:bookmarkEnd w:id="0"/>
            <w:r>
              <w:rPr>
                <w:sz w:val="21"/>
                <w:szCs w:val="21"/>
              </w:rPr>
              <w:t>沁阳市宏达钢铁有限公司</w:t>
            </w:r>
            <w:r>
              <w:rPr>
                <w:rFonts w:hint="eastAsia"/>
                <w:color w:val="000000" w:themeColor="text1"/>
                <w:lang w:val="en-US" w:eastAsia="zh-CN"/>
              </w:rPr>
              <w:t>成立于</w:t>
            </w:r>
            <w:r>
              <w:rPr>
                <w:rFonts w:hint="eastAsia"/>
                <w:color w:val="000000"/>
                <w:szCs w:val="21"/>
                <w:lang w:val="en-US" w:eastAsia="zh-CN"/>
              </w:rPr>
              <w:t>2003年8月20日</w:t>
            </w:r>
            <w:r>
              <w:rPr>
                <w:rFonts w:hint="eastAsia"/>
                <w:color w:val="000000" w:themeColor="text1"/>
                <w:lang w:val="en-US" w:eastAsia="zh-CN"/>
              </w:rPr>
              <w:t>，是经沁阳市市场监督管理局核准注册的</w:t>
            </w:r>
            <w:r>
              <w:rPr>
                <w:sz w:val="20"/>
              </w:rPr>
              <w:t>资质范围内钢筋混凝土用热轧钢筋的生产</w:t>
            </w:r>
            <w:r>
              <w:rPr>
                <w:rFonts w:hint="eastAsia"/>
                <w:sz w:val="20"/>
                <w:lang w:val="en-US" w:eastAsia="zh-CN"/>
              </w:rPr>
              <w:t>的</w:t>
            </w:r>
            <w:r>
              <w:rPr>
                <w:rFonts w:hint="eastAsia"/>
                <w:color w:val="000000" w:themeColor="text1"/>
                <w:lang w:val="en-US" w:eastAsia="zh-CN"/>
              </w:rPr>
              <w:t>公司。主要制造</w:t>
            </w:r>
            <w:r>
              <w:rPr>
                <w:sz w:val="21"/>
                <w:szCs w:val="21"/>
              </w:rPr>
              <w:t>钢筋混凝土用热轧钢筋</w:t>
            </w:r>
            <w:r>
              <w:rPr>
                <w:rFonts w:hint="eastAsia"/>
                <w:color w:val="000000" w:themeColor="text1"/>
                <w:lang w:val="en-US" w:eastAsia="zh-CN"/>
              </w:rPr>
              <w:t>等产品。</w:t>
            </w:r>
          </w:p>
          <w:p>
            <w:pPr>
              <w:ind w:firstLine="420" w:firstLineChars="200"/>
              <w:rPr>
                <w:rFonts w:hint="eastAsia"/>
                <w:color w:val="000000" w:themeColor="text1"/>
                <w:lang w:val="en-US" w:eastAsia="zh-CN"/>
              </w:rPr>
            </w:pPr>
            <w:r>
              <w:rPr>
                <w:rFonts w:hint="eastAsia"/>
                <w:color w:val="000000" w:themeColor="text1"/>
                <w:lang w:val="en-US" w:eastAsia="zh-CN"/>
              </w:rPr>
              <w:t xml:space="preserve">总经理：林伟。 </w:t>
            </w:r>
          </w:p>
          <w:p>
            <w:pPr>
              <w:ind w:firstLine="420" w:firstLineChars="200"/>
              <w:rPr>
                <w:rFonts w:hint="eastAsia"/>
                <w:color w:val="000000" w:themeColor="text1"/>
                <w:lang w:val="en-US" w:eastAsia="zh-CN"/>
              </w:rPr>
            </w:pPr>
            <w:r>
              <w:rPr>
                <w:rFonts w:hint="eastAsia"/>
                <w:color w:val="000000" w:themeColor="text1"/>
                <w:lang w:val="en-US" w:eastAsia="zh-CN"/>
              </w:rPr>
              <w:t>注册资本50000万元，公司总人数300人，体系覆盖人数200人，</w:t>
            </w:r>
            <w:r>
              <w:rPr>
                <w:rFonts w:hint="eastAsia"/>
                <w:color w:val="000000" w:themeColor="text1"/>
                <w:highlight w:val="none"/>
                <w:lang w:val="en-US" w:eastAsia="zh-CN"/>
              </w:rPr>
              <w:t>管理人员40人，员工160人</w:t>
            </w:r>
            <w:r>
              <w:rPr>
                <w:rFonts w:hint="eastAsia"/>
                <w:color w:val="000000" w:themeColor="text1"/>
                <w:lang w:val="en-US" w:eastAsia="zh-CN"/>
              </w:rPr>
              <w:t>。</w:t>
            </w:r>
          </w:p>
          <w:p>
            <w:pPr>
              <w:ind w:firstLine="420" w:firstLineChars="200"/>
              <w:rPr>
                <w:rFonts w:hint="eastAsia"/>
                <w:color w:val="000000" w:themeColor="text1"/>
                <w:lang w:val="en-US" w:eastAsia="zh-CN"/>
              </w:rPr>
            </w:pPr>
            <w:r>
              <w:rPr>
                <w:rFonts w:hint="eastAsia"/>
                <w:color w:val="000000" w:themeColor="text1"/>
                <w:lang w:val="en-US" w:eastAsia="zh-CN"/>
              </w:rPr>
              <w:t>营业执照注册地址：</w:t>
            </w:r>
            <w:r>
              <w:rPr>
                <w:rFonts w:asciiTheme="minorEastAsia" w:hAnsiTheme="minorEastAsia" w:eastAsiaTheme="minorEastAsia"/>
                <w:sz w:val="20"/>
              </w:rPr>
              <w:t>沁阳市产业集聚区沁北产业园区(西万镇校尉营村南)</w:t>
            </w:r>
            <w:r>
              <w:rPr>
                <w:rFonts w:hint="eastAsia"/>
                <w:color w:val="000000" w:themeColor="text1"/>
                <w:lang w:val="en-US" w:eastAsia="zh-CN"/>
              </w:rPr>
              <w:t>。</w:t>
            </w:r>
          </w:p>
          <w:p>
            <w:pPr>
              <w:ind w:firstLine="420" w:firstLineChars="200"/>
              <w:rPr>
                <w:rFonts w:hint="eastAsia" w:ascii="宋体" w:hAnsi="宋体" w:eastAsia="宋体" w:cs="宋体"/>
                <w:color w:val="000000"/>
                <w:kern w:val="0"/>
                <w:szCs w:val="21"/>
                <w:lang w:eastAsia="zh-CN"/>
              </w:rPr>
            </w:pPr>
            <w:r>
              <w:rPr>
                <w:rFonts w:hint="eastAsia"/>
                <w:color w:val="000000" w:themeColor="text1"/>
                <w:lang w:val="en-US" w:eastAsia="zh-CN"/>
              </w:rPr>
              <w:t>经营地址：</w:t>
            </w:r>
            <w:r>
              <w:rPr>
                <w:rFonts w:asciiTheme="minorEastAsia" w:hAnsiTheme="minorEastAsia" w:eastAsiaTheme="minorEastAsia"/>
                <w:sz w:val="20"/>
              </w:rPr>
              <w:t>沁阳市产业集聚区沁北产业园区(西万镇校尉营村南)</w:t>
            </w:r>
            <w:r>
              <w:rPr>
                <w:rFonts w:hint="eastAsia"/>
                <w:color w:val="000000"/>
                <w:lang w:eastAsia="zh-CN"/>
              </w:rPr>
              <w:t>；</w:t>
            </w:r>
          </w:p>
          <w:p>
            <w:pPr>
              <w:ind w:firstLine="420" w:firstLineChars="200"/>
              <w:rPr>
                <w:rFonts w:hint="eastAsia"/>
                <w:color w:val="000000" w:themeColor="text1"/>
                <w:lang w:val="en-US" w:eastAsia="zh-CN"/>
              </w:rPr>
            </w:pPr>
            <w:r>
              <w:rPr>
                <w:rFonts w:hint="eastAsia"/>
                <w:color w:val="000000" w:themeColor="text1"/>
                <w:lang w:val="en-US" w:eastAsia="zh-CN"/>
              </w:rPr>
              <w:t>与注册地址一致，与生产或服务现场一致。</w:t>
            </w:r>
          </w:p>
          <w:p>
            <w:pPr>
              <w:ind w:firstLine="420" w:firstLineChars="200"/>
              <w:rPr>
                <w:rFonts w:hint="eastAsia"/>
                <w:color w:val="000000" w:themeColor="text1"/>
                <w:lang w:val="en-US" w:eastAsia="zh-CN"/>
              </w:rPr>
            </w:pPr>
            <w:r>
              <w:rPr>
                <w:rFonts w:hint="eastAsia"/>
                <w:color w:val="000000" w:themeColor="text1"/>
                <w:lang w:val="en-US" w:eastAsia="zh-CN"/>
              </w:rPr>
              <w:t>能源管理体系覆盖的有效人数200人，现场审核予以确认。</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理解组织及其所处的环境</w:t>
            </w:r>
            <w:r>
              <w:rPr>
                <w:rFonts w:hint="eastAsia" w:ascii="宋体" w:hAnsi="宋体" w:cs="Times New Roman"/>
                <w:color w:val="000000" w:themeColor="text1"/>
                <w:sz w:val="21"/>
                <w:szCs w:val="21"/>
                <w:lang w:val="en-US" w:eastAsia="zh-CN"/>
              </w:rPr>
              <w:t>，</w:t>
            </w:r>
          </w:p>
          <w:p>
            <w:pPr>
              <w:rPr>
                <w:rFonts w:hint="default"/>
                <w:color w:val="000000" w:themeColor="text1"/>
                <w:lang w:val="en-US"/>
              </w:rPr>
            </w:pPr>
            <w:r>
              <w:rPr>
                <w:rFonts w:hint="eastAsia" w:ascii="宋体" w:hAnsi="宋体" w:eastAsia="宋体" w:cs="Times New Roman"/>
                <w:color w:val="000000" w:themeColor="text1"/>
                <w:sz w:val="21"/>
                <w:szCs w:val="21"/>
                <w:lang w:val="en-US" w:eastAsia="zh-CN"/>
              </w:rPr>
              <w:t>理解相关方的需求和期望</w:t>
            </w:r>
          </w:p>
        </w:tc>
        <w:tc>
          <w:tcPr>
            <w:tcW w:w="960" w:type="dxa"/>
          </w:tcPr>
          <w:p>
            <w:pPr>
              <w:rPr>
                <w:rFonts w:hint="default"/>
                <w:color w:val="000000" w:themeColor="text1"/>
                <w:lang w:val="en-US"/>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lang w:val="en-US" w:eastAsia="zh-CN"/>
              </w:rPr>
              <w:t>.1</w:t>
            </w:r>
            <w:r>
              <w:rPr>
                <w:rFonts w:hint="eastAsia" w:ascii="宋体" w:hAnsi="宋体" w:cs="Times New Roman"/>
                <w:color w:val="000000" w:themeColor="text1"/>
                <w:sz w:val="21"/>
                <w:szCs w:val="21"/>
                <w:lang w:val="en-US" w:eastAsia="zh-CN"/>
              </w:rPr>
              <w:t>/4.2</w:t>
            </w:r>
          </w:p>
        </w:tc>
        <w:tc>
          <w:tcPr>
            <w:tcW w:w="10376" w:type="dxa"/>
          </w:tcPr>
          <w:p>
            <w:pPr>
              <w:ind w:firstLine="420" w:firstLineChars="200"/>
              <w:jc w:val="left"/>
              <w:rPr>
                <w:rFonts w:hint="default"/>
                <w:lang w:val="en-US" w:eastAsia="zh-CN"/>
              </w:rPr>
            </w:pPr>
            <w:r>
              <w:rPr>
                <w:rFonts w:hint="default"/>
                <w:lang w:val="en-US" w:eastAsia="zh-CN"/>
              </w:rPr>
              <w:t>公司确定与其宗旨相关并影响其实现能源管理体系预期结果的能力的外部和内部问题。从地理位置、国内国际市场、法律法规要求、技术水平、文化和价值观等方面关注环境变化</w:t>
            </w:r>
            <w:r>
              <w:rPr>
                <w:rFonts w:hint="eastAsia"/>
                <w:lang w:val="en-US" w:eastAsia="zh-CN"/>
              </w:rPr>
              <w:t>。</w:t>
            </w:r>
            <w:r>
              <w:rPr>
                <w:rFonts w:hint="default"/>
                <w:lang w:val="en-US" w:eastAsia="zh-CN"/>
              </w:rPr>
              <w:t xml:space="preserve"> </w:t>
            </w:r>
          </w:p>
          <w:p>
            <w:pPr>
              <w:ind w:firstLine="420" w:firstLineChars="200"/>
              <w:jc w:val="left"/>
              <w:rPr>
                <w:rFonts w:hint="default"/>
                <w:lang w:val="en-US" w:eastAsia="zh-CN"/>
              </w:rPr>
            </w:pPr>
            <w:r>
              <w:rPr>
                <w:rFonts w:hint="default"/>
                <w:lang w:val="en-US" w:eastAsia="zh-CN"/>
              </w:rPr>
              <w:t>公司领导层在了解和识别内外部因素时，</w:t>
            </w:r>
            <w:r>
              <w:rPr>
                <w:rFonts w:hint="eastAsia"/>
                <w:lang w:val="en-US" w:eastAsia="zh-CN"/>
              </w:rPr>
              <w:t>已经</w:t>
            </w:r>
            <w:r>
              <w:rPr>
                <w:rFonts w:hint="default"/>
                <w:lang w:val="en-US" w:eastAsia="zh-CN"/>
              </w:rPr>
              <w:t>充分考虑企业活动、产品和服务提供过程中发生相互作用的因素，并基于生命周期的观点实施能源因素的管理。公司领导层采用适宜的方法，如定期召开经营管理会议，对这些内部和外部因素的中高风险进行监视和评审，确保充分识别、消除，降低或减缓风险，充分利用可能的发展机遇，保证实现企业效益及能源管理体系预期结果。</w:t>
            </w:r>
          </w:p>
          <w:p>
            <w:pPr>
              <w:ind w:firstLine="420" w:firstLineChars="200"/>
              <w:jc w:val="left"/>
              <w:rPr>
                <w:rFonts w:hint="default"/>
                <w:lang w:val="en-US" w:eastAsia="zh-CN"/>
              </w:rPr>
            </w:pPr>
            <w:r>
              <w:rPr>
                <w:rFonts w:hint="eastAsia"/>
                <w:lang w:val="en-US" w:eastAsia="zh-CN"/>
              </w:rPr>
              <w:t>公司确定了与能源效益和能源管理系统有关的利害关系方；也提出了这些利害关系方的相关要求；公司通过能源管理体系处理哪些确定的需求和期望。公司还规定：生产部确定内外部环境因素和相关方期望或要求。总经理：批准风险和机会的应对措施。管理者代表组织各部门进行内外部环境因素和相关方期望或要求的识别评价、并拟定应对措施，对结果进行审核整理。各部门配合进行内外部环境因素和相关方期望或要求的识别评价、并拟定应对措施。</w:t>
            </w:r>
          </w:p>
          <w:p>
            <w:pPr>
              <w:ind w:firstLine="420" w:firstLineChars="200"/>
              <w:jc w:val="left"/>
              <w:rPr>
                <w:rFonts w:hint="default"/>
                <w:lang w:val="en-US" w:eastAsia="zh-CN"/>
              </w:rPr>
            </w:pPr>
            <w:r>
              <w:rPr>
                <w:rFonts w:hint="default"/>
                <w:lang w:val="en-US" w:eastAsia="zh-CN"/>
              </w:rPr>
              <w:t>公司</w:t>
            </w:r>
            <w:r>
              <w:rPr>
                <w:rFonts w:hint="eastAsia"/>
                <w:lang w:val="en-US" w:eastAsia="zh-CN"/>
              </w:rPr>
              <w:t>对管理</w:t>
            </w:r>
            <w:r>
              <w:rPr>
                <w:rFonts w:hint="default"/>
                <w:lang w:val="en-US" w:eastAsia="zh-CN"/>
              </w:rPr>
              <w:t>相关方</w:t>
            </w:r>
            <w:r>
              <w:rPr>
                <w:rFonts w:hint="eastAsia"/>
                <w:lang w:val="en-US" w:eastAsia="zh-CN"/>
              </w:rPr>
              <w:t>要求</w:t>
            </w:r>
            <w:r>
              <w:rPr>
                <w:rFonts w:hint="default"/>
                <w:lang w:val="en-US" w:eastAsia="zh-CN"/>
              </w:rPr>
              <w:t>：管理者代表</w:t>
            </w:r>
            <w:r>
              <w:rPr>
                <w:rFonts w:hint="eastAsia"/>
                <w:lang w:val="en-US" w:eastAsia="zh-CN"/>
              </w:rPr>
              <w:t>负责</w:t>
            </w:r>
            <w:r>
              <w:rPr>
                <w:rFonts w:hint="default"/>
                <w:lang w:val="en-US" w:eastAsia="zh-CN"/>
              </w:rPr>
              <w:t>所有者、合伙人、竞争对手或社会团体</w:t>
            </w:r>
            <w:r>
              <w:rPr>
                <w:rFonts w:hint="eastAsia"/>
                <w:lang w:val="en-US" w:eastAsia="zh-CN"/>
              </w:rPr>
              <w:t>。</w:t>
            </w:r>
            <w:r>
              <w:rPr>
                <w:rFonts w:hint="default"/>
                <w:lang w:val="en-US" w:eastAsia="zh-CN"/>
              </w:rPr>
              <w:t>采购部门</w:t>
            </w:r>
            <w:r>
              <w:rPr>
                <w:rFonts w:hint="eastAsia"/>
                <w:lang w:val="en-US" w:eastAsia="zh-CN"/>
              </w:rPr>
              <w:t>负责</w:t>
            </w:r>
            <w:r>
              <w:rPr>
                <w:rFonts w:hint="default"/>
                <w:lang w:val="en-US" w:eastAsia="zh-CN"/>
              </w:rPr>
              <w:t>外包加工方、供应商、竞争对手或社会团体</w:t>
            </w:r>
            <w:r>
              <w:rPr>
                <w:rFonts w:hint="eastAsia"/>
                <w:lang w:val="en-US" w:eastAsia="zh-CN"/>
              </w:rPr>
              <w:t>，还负责</w:t>
            </w:r>
            <w:r>
              <w:rPr>
                <w:rFonts w:hint="default"/>
                <w:lang w:val="en-US" w:eastAsia="zh-CN"/>
              </w:rPr>
              <w:t>顾客、竞争对手或社会团体</w:t>
            </w:r>
            <w:r>
              <w:rPr>
                <w:rFonts w:hint="eastAsia"/>
                <w:lang w:val="en-US" w:eastAsia="zh-CN"/>
              </w:rPr>
              <w:t>。行政部负责</w:t>
            </w:r>
            <w:r>
              <w:rPr>
                <w:rFonts w:hint="default"/>
                <w:lang w:val="en-US" w:eastAsia="zh-CN"/>
              </w:rPr>
              <w:t>员工代表、附近企业及居民、银行、工会、社会团体。</w:t>
            </w:r>
          </w:p>
          <w:p>
            <w:pPr>
              <w:keepNext w:val="0"/>
              <w:keepLines w:val="0"/>
              <w:widowControl/>
              <w:suppressLineNumbers w:val="0"/>
              <w:jc w:val="left"/>
              <w:rPr>
                <w:rFonts w:hint="default"/>
                <w:b/>
                <w:bCs/>
                <w:lang w:val="en-US" w:eastAsia="zh-CN"/>
              </w:rPr>
            </w:pPr>
            <w:r>
              <w:rPr>
                <w:rFonts w:hint="eastAsia"/>
                <w:b/>
                <w:bCs/>
                <w:lang w:val="en-US" w:eastAsia="zh-CN"/>
              </w:rPr>
              <w:t>公司提供了</w:t>
            </w:r>
            <w:r>
              <w:rPr>
                <w:rFonts w:hint="eastAsia" w:ascii="宋体" w:hAnsi="宋体" w:eastAsia="宋体" w:cs="宋体"/>
                <w:b/>
                <w:bCs/>
                <w:color w:val="000000"/>
                <w:kern w:val="0"/>
                <w:sz w:val="21"/>
                <w:szCs w:val="21"/>
                <w:lang w:val="en-US" w:eastAsia="zh-CN" w:bidi="ar"/>
              </w:rPr>
              <w:t>其能源效率、能源使用和能源消耗等有关的适用的法律法规及其他要求的文件。公司定期对法律法规和其他要求进行评审，提供2022.2.25日能源合规性评价报告，详见附件，经查符合要求</w:t>
            </w:r>
            <w:bookmarkStart w:id="2" w:name="_GoBack"/>
            <w:bookmarkEnd w:id="2"/>
            <w:r>
              <w:rPr>
                <w:rFonts w:hint="eastAsia" w:ascii="宋体" w:hAnsi="宋体" w:eastAsia="宋体" w:cs="宋体"/>
                <w:b/>
                <w:bCs/>
                <w:color w:val="000000"/>
                <w:kern w:val="0"/>
                <w:sz w:val="21"/>
                <w:szCs w:val="21"/>
                <w:lang w:val="en-US" w:eastAsia="zh-CN" w:bidi="ar"/>
              </w:rPr>
              <w:t>。</w:t>
            </w:r>
          </w:p>
          <w:p>
            <w:pPr>
              <w:ind w:firstLine="420" w:firstLineChars="200"/>
              <w:rPr>
                <w:rFonts w:hint="eastAsia"/>
                <w:lang w:val="en-US" w:eastAsia="zh-CN"/>
              </w:rPr>
            </w:pPr>
            <w:r>
              <w:rPr>
                <w:rFonts w:hint="eastAsia"/>
                <w:lang w:val="en-US" w:eastAsia="zh-CN"/>
              </w:rPr>
              <w:t>公司的能源管理涉及的内外部环境因素、相关方的需求和期望等基本识别到位，并明确了检测频率和监测部门。满足要求。</w:t>
            </w:r>
          </w:p>
          <w:p>
            <w:pPr>
              <w:pStyle w:val="12"/>
              <w:rPr>
                <w:rFonts w:hint="default" w:ascii="宋体" w:hAnsi="宋体" w:eastAsia="宋体" w:cs="宋体"/>
                <w:b w:val="0"/>
                <w:bCs w:val="0"/>
                <w:i/>
                <w:iCs/>
                <w:color w:val="000000" w:themeColor="text1"/>
                <w:sz w:val="21"/>
                <w:szCs w:val="21"/>
                <w:u w:val="single"/>
                <w:lang w:val="en-US" w:eastAsia="zh-CN"/>
              </w:rPr>
            </w:pPr>
            <w:r>
              <w:rPr>
                <w:rFonts w:hint="eastAsia" w:ascii="宋体" w:hAnsi="宋体" w:eastAsia="宋体" w:cs="宋体"/>
                <w:b w:val="0"/>
                <w:bCs w:val="0"/>
                <w:i/>
                <w:iCs/>
                <w:sz w:val="21"/>
                <w:szCs w:val="21"/>
                <w:u w:val="single"/>
                <w:lang w:val="en-US" w:eastAsia="zh-CN"/>
              </w:rPr>
              <w:t>识别的</w:t>
            </w:r>
            <w:r>
              <w:rPr>
                <w:rFonts w:hint="eastAsia" w:ascii="宋体" w:hAnsi="宋体" w:eastAsia="宋体" w:cs="宋体"/>
                <w:b w:val="0"/>
                <w:bCs w:val="0"/>
                <w:i/>
                <w:iCs/>
                <w:color w:val="000000" w:themeColor="text1"/>
                <w:sz w:val="21"/>
                <w:szCs w:val="21"/>
                <w:u w:val="single"/>
                <w:lang w:val="en-US" w:eastAsia="zh-CN"/>
              </w:rPr>
              <w:t>相关方的需求不充分。</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color w:val="000000" w:themeColor="text1"/>
              </w:rPr>
            </w:pPr>
            <w:r>
              <w:rPr>
                <w:rFonts w:hint="eastAsia" w:ascii="宋体" w:hAnsi="宋体" w:eastAsia="宋体" w:cs="Times New Roman"/>
                <w:color w:val="000000" w:themeColor="text1"/>
                <w:sz w:val="21"/>
                <w:szCs w:val="21"/>
                <w:lang w:val="en-US" w:eastAsia="zh-CN"/>
              </w:rPr>
              <w:t>确定能源管理体系的范围</w:t>
            </w:r>
          </w:p>
        </w:tc>
        <w:tc>
          <w:tcPr>
            <w:tcW w:w="960" w:type="dxa"/>
          </w:tcPr>
          <w:p>
            <w:pPr>
              <w:rPr>
                <w:rFonts w:hint="eastAsia" w:eastAsia="宋体"/>
                <w:color w:val="000000" w:themeColor="text1"/>
                <w:lang w:eastAsia="zh-CN"/>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rPr>
              <w:t>.</w:t>
            </w:r>
            <w:r>
              <w:rPr>
                <w:rFonts w:hint="eastAsia" w:ascii="宋体" w:hAnsi="宋体" w:cs="Times New Roman"/>
                <w:color w:val="000000" w:themeColor="text1"/>
                <w:sz w:val="21"/>
                <w:szCs w:val="21"/>
                <w:lang w:val="en-US" w:eastAsia="zh-CN"/>
              </w:rPr>
              <w:t>3</w:t>
            </w:r>
          </w:p>
        </w:tc>
        <w:tc>
          <w:tcPr>
            <w:tcW w:w="10376" w:type="dxa"/>
          </w:tcPr>
          <w:p>
            <w:pPr>
              <w:ind w:firstLine="400" w:firstLineChars="200"/>
              <w:rPr>
                <w:rFonts w:hint="default"/>
                <w:color w:val="000000" w:themeColor="text1"/>
                <w:sz w:val="20"/>
                <w:szCs w:val="22"/>
                <w:lang w:val="en-US" w:eastAsia="zh-CN"/>
              </w:rPr>
            </w:pPr>
            <w:r>
              <w:rPr>
                <w:rFonts w:hint="eastAsia"/>
                <w:color w:val="000000" w:themeColor="text1"/>
                <w:sz w:val="20"/>
                <w:szCs w:val="22"/>
                <w:lang w:val="en-US" w:eastAsia="zh-CN"/>
              </w:rPr>
              <w:t>公司能源管理体系的边界和范围：二阶段已确认审核范围。</w:t>
            </w:r>
          </w:p>
          <w:p>
            <w:pPr>
              <w:ind w:firstLine="420" w:firstLineChars="200"/>
              <w:rPr>
                <w:rFonts w:hint="eastAsia"/>
                <w:color w:val="000000" w:themeColor="text1"/>
                <w:sz w:val="20"/>
                <w:szCs w:val="22"/>
                <w:lang w:val="en-US" w:eastAsia="zh-CN"/>
              </w:rPr>
            </w:pPr>
            <w:r>
              <w:rPr>
                <w:sz w:val="21"/>
                <w:szCs w:val="21"/>
              </w:rPr>
              <w:t>沁阳市宏达钢铁有限公司</w:t>
            </w:r>
            <w:r>
              <w:rPr>
                <w:rFonts w:hint="eastAsia"/>
                <w:color w:val="000000" w:themeColor="text1"/>
                <w:sz w:val="20"/>
                <w:szCs w:val="22"/>
                <w:lang w:val="en-US" w:eastAsia="zh-CN"/>
              </w:rPr>
              <w:t>的</w:t>
            </w:r>
            <w:bookmarkStart w:id="1" w:name="审核范围"/>
            <w:r>
              <w:rPr>
                <w:sz w:val="20"/>
              </w:rPr>
              <w:t>资质范围内钢筋混凝土用热轧钢筋的生产所涉及的能源管理活动</w:t>
            </w:r>
            <w:bookmarkEnd w:id="1"/>
            <w:r>
              <w:rPr>
                <w:rFonts w:hint="eastAsia"/>
                <w:color w:val="000000" w:themeColor="text1"/>
                <w:sz w:val="20"/>
                <w:szCs w:val="22"/>
                <w:lang w:val="en-US" w:eastAsia="zh-CN"/>
              </w:rPr>
              <w:t>。</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核算边界：</w:t>
            </w:r>
            <w:r>
              <w:rPr>
                <w:rFonts w:asciiTheme="minorEastAsia" w:hAnsiTheme="minorEastAsia" w:eastAsiaTheme="minorEastAsia"/>
                <w:sz w:val="20"/>
              </w:rPr>
              <w:t>沁阳市产业集聚区沁北产业园区(西万镇校尉营村南)</w:t>
            </w:r>
            <w:r>
              <w:rPr>
                <w:rFonts w:hint="eastAsia"/>
                <w:color w:val="000000" w:themeColor="text1"/>
                <w:sz w:val="20"/>
                <w:szCs w:val="22"/>
                <w:lang w:val="en-US" w:eastAsia="zh-CN"/>
              </w:rPr>
              <w:t>的</w:t>
            </w:r>
            <w:r>
              <w:rPr>
                <w:sz w:val="21"/>
                <w:szCs w:val="21"/>
              </w:rPr>
              <w:t>沁阳市宏达钢铁有限公司</w:t>
            </w:r>
            <w:r>
              <w:rPr>
                <w:rFonts w:hint="eastAsia"/>
                <w:color w:val="000000" w:themeColor="text1"/>
                <w:sz w:val="20"/>
                <w:szCs w:val="22"/>
                <w:lang w:val="en-US" w:eastAsia="zh-CN"/>
              </w:rPr>
              <w:t>的</w:t>
            </w:r>
            <w:r>
              <w:rPr>
                <w:sz w:val="20"/>
              </w:rPr>
              <w:t>资质范围内钢筋混凝土用热轧钢筋的生产</w:t>
            </w:r>
            <w:r>
              <w:rPr>
                <w:rFonts w:hint="eastAsia"/>
                <w:sz w:val="20"/>
                <w:lang w:val="en-US" w:eastAsia="zh-CN"/>
              </w:rPr>
              <w:t>涉及的能源管理活动</w:t>
            </w:r>
            <w:r>
              <w:rPr>
                <w:rFonts w:hint="eastAsia"/>
                <w:color w:val="000000" w:themeColor="text1"/>
                <w:sz w:val="20"/>
                <w:szCs w:val="22"/>
                <w:lang w:val="en-US" w:eastAsia="zh-CN"/>
              </w:rPr>
              <w:t>；该活动涵盖了能源购入、转换、输送、使用所涉及的生产系统、辅助生产系统和附属生产系统活动全过程。</w:t>
            </w:r>
          </w:p>
          <w:p>
            <w:pPr>
              <w:ind w:firstLine="400" w:firstLineChars="200"/>
              <w:rPr>
                <w:rFonts w:hint="default"/>
                <w:color w:val="000000" w:themeColor="text1"/>
                <w:lang w:val="en-US" w:eastAsia="zh-CN"/>
              </w:rPr>
            </w:pPr>
            <w:r>
              <w:rPr>
                <w:rFonts w:hint="eastAsia"/>
                <w:color w:val="000000" w:themeColor="text1"/>
                <w:sz w:val="20"/>
                <w:szCs w:val="22"/>
                <w:lang w:val="en-US" w:eastAsia="zh-CN"/>
              </w:rPr>
              <w:t>公司没有多场所和临时场所。</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能源管理体系的建立与策划</w:t>
            </w:r>
          </w:p>
        </w:tc>
        <w:tc>
          <w:tcPr>
            <w:tcW w:w="960" w:type="dxa"/>
          </w:tcPr>
          <w:p>
            <w:pPr>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4.4</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公司总经理重视节能降耗工作，为了系统高效地开展节约能源工作，使公司原有的节能管理更加系统化、规范化、标准化，公司根据GB/T 23331-2020 idt ISO 50001:2018标准及国家相关法律法规，充分结合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2022年1月1日正式实施运行以来，至今已取得较好的能源绩效。</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领导作用和承诺</w:t>
            </w:r>
          </w:p>
        </w:tc>
        <w:tc>
          <w:tcPr>
            <w:tcW w:w="9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5.1 </w:t>
            </w:r>
          </w:p>
        </w:tc>
        <w:tc>
          <w:tcPr>
            <w:tcW w:w="10376" w:type="dxa"/>
          </w:tcPr>
          <w:p>
            <w:pPr>
              <w:ind w:firstLine="420" w:firstLineChars="200"/>
              <w:rPr>
                <w:rFonts w:hint="eastAsia"/>
                <w:color w:val="000000" w:themeColor="text1"/>
                <w:sz w:val="20"/>
                <w:lang w:val="en-US" w:eastAsia="zh-CN"/>
              </w:rPr>
            </w:pPr>
            <w:r>
              <w:rPr>
                <w:rFonts w:hint="eastAsia" w:asciiTheme="minorEastAsia" w:hAnsiTheme="minorEastAsia" w:eastAsiaTheme="minorEastAsia"/>
                <w:color w:val="000000" w:themeColor="text1"/>
                <w:szCs w:val="21"/>
              </w:rPr>
              <w:t>公司手册中明确了公司领导层的承诺和要求，包括：体系的理念融入到公司管理工作的各个环节中并得到运用，通过以下活动，对其建立、实施和改进能源管理体系并持续改进其有效性的承诺提供证据：在企业内部传达满足法律法规要求的重要性；制定能源方针；确保能源目标的制定；确保组建能源管理团队；确保能源绩效参数恰当反映能源绩效；进行管理评审；确保能源管理体系所需资源的配置和获得等</w:t>
            </w:r>
            <w:r>
              <w:rPr>
                <w:rFonts w:asciiTheme="minorEastAsia" w:hAnsiTheme="minorEastAsia" w:eastAsiaTheme="minorEastAsia"/>
                <w:color w:val="000000" w:themeColor="text1"/>
                <w:szCs w:val="21"/>
              </w:rPr>
              <w:t>。</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tcPr>
          <w:p>
            <w:pPr>
              <w:spacing w:line="240" w:lineRule="auto"/>
              <w:rPr>
                <w:rFonts w:hint="eastAsia"/>
                <w:color w:val="000000" w:themeColor="text1"/>
                <w:lang w:val="en-US" w:eastAsia="zh-CN"/>
              </w:rPr>
            </w:pPr>
            <w:r>
              <w:rPr>
                <w:rFonts w:hint="eastAsia"/>
                <w:color w:val="000000" w:themeColor="text1"/>
                <w:lang w:val="en-US" w:eastAsia="zh-CN"/>
              </w:rPr>
              <w:t>能源方针</w:t>
            </w:r>
          </w:p>
          <w:p>
            <w:pPr>
              <w:pStyle w:val="16"/>
              <w:spacing w:line="240" w:lineRule="auto"/>
              <w:rPr>
                <w:rFonts w:hint="default"/>
                <w:color w:val="000000" w:themeColor="text1"/>
                <w:lang w:val="en-US" w:eastAsia="zh-CN"/>
              </w:rPr>
            </w:pPr>
            <w:r>
              <w:rPr>
                <w:rFonts w:hint="eastAsia" w:ascii="宋体" w:hAnsi="宋体" w:cs="Times New Roman"/>
                <w:color w:val="000000" w:themeColor="text1"/>
                <w:sz w:val="21"/>
                <w:szCs w:val="21"/>
                <w:lang w:val="en-US" w:eastAsia="zh-CN"/>
              </w:rPr>
              <w:t>目标指标</w:t>
            </w:r>
          </w:p>
        </w:tc>
        <w:tc>
          <w:tcPr>
            <w:tcW w:w="960" w:type="dxa"/>
          </w:tcPr>
          <w:p>
            <w:pPr>
              <w:spacing w:line="240" w:lineRule="auto"/>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5.2 </w:t>
            </w:r>
          </w:p>
          <w:p>
            <w:pPr>
              <w:spacing w:line="240" w:lineRule="auto"/>
              <w:rPr>
                <w:rFonts w:hint="default"/>
                <w:color w:val="000000" w:themeColor="text1"/>
                <w:lang w:val="en-US" w:eastAsia="zh-CN"/>
              </w:rPr>
            </w:pPr>
            <w:r>
              <w:rPr>
                <w:rFonts w:hint="eastAsia" w:ascii="宋体" w:hAnsi="宋体" w:eastAsia="宋体" w:cs="Times New Roman"/>
                <w:color w:val="000000" w:themeColor="text1"/>
                <w:sz w:val="21"/>
                <w:szCs w:val="21"/>
                <w:lang w:val="en-US" w:eastAsia="zh-CN"/>
              </w:rPr>
              <w:t>6.2</w:t>
            </w:r>
          </w:p>
        </w:tc>
        <w:tc>
          <w:tcPr>
            <w:tcW w:w="10376" w:type="dxa"/>
          </w:tcPr>
          <w:p>
            <w:pPr>
              <w:pStyle w:val="16"/>
              <w:spacing w:line="240" w:lineRule="auto"/>
              <w:rPr>
                <w:rFonts w:hint="eastAsia" w:asciiTheme="minorEastAsia" w:hAnsiTheme="minorEastAsia" w:eastAsiaTheme="minorEastAsia" w:cstheme="minorEastAsia"/>
                <w:b w:val="0"/>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 w:val="0"/>
                <w:bCs w:val="0"/>
                <w:color w:val="000000" w:themeColor="text1"/>
                <w:spacing w:val="0"/>
                <w:kern w:val="2"/>
                <w:sz w:val="21"/>
                <w:szCs w:val="21"/>
                <w:highlight w:val="none"/>
                <w:lang w:val="en-US" w:eastAsia="zh-CN" w:bidi="ar-SA"/>
              </w:rPr>
              <w:t>提供《</w:t>
            </w:r>
            <w:r>
              <w:rPr>
                <w:rFonts w:hint="eastAsia" w:asciiTheme="minorEastAsia" w:hAnsiTheme="minorEastAsia" w:eastAsiaTheme="minorEastAsia" w:cstheme="minorEastAsia"/>
                <w:b w:val="0"/>
                <w:bCs w:val="0"/>
                <w:sz w:val="21"/>
                <w:szCs w:val="21"/>
                <w:highlight w:val="none"/>
              </w:rPr>
              <w:t>HDGT-CX-6-202</w:t>
            </w:r>
            <w:r>
              <w:rPr>
                <w:rFonts w:hint="eastAsia" w:asciiTheme="minorEastAsia" w:hAnsiTheme="minorEastAsia" w:eastAsiaTheme="minorEastAsia" w:cstheme="minorEastAsia"/>
                <w:b w:val="0"/>
                <w:bCs w:val="0"/>
                <w:sz w:val="21"/>
                <w:szCs w:val="21"/>
                <w:highlight w:val="none"/>
                <w:lang w:val="en-US" w:eastAsia="zh-CN"/>
              </w:rPr>
              <w:t>2</w:t>
            </w:r>
            <w:r>
              <w:rPr>
                <w:rFonts w:hint="eastAsia" w:asciiTheme="minorEastAsia" w:hAnsiTheme="minorEastAsia" w:eastAsiaTheme="minorEastAsia" w:cstheme="minorEastAsia"/>
                <w:b w:val="0"/>
                <w:bCs w:val="0"/>
                <w:sz w:val="21"/>
                <w:szCs w:val="21"/>
                <w:highlight w:val="none"/>
              </w:rPr>
              <w:t>能源目标、基准、绩效参数控制程序</w:t>
            </w:r>
            <w:r>
              <w:rPr>
                <w:rFonts w:hint="eastAsia" w:asciiTheme="minorEastAsia" w:hAnsiTheme="minorEastAsia" w:eastAsiaTheme="minorEastAsia" w:cstheme="minorEastAsia"/>
                <w:b w:val="0"/>
                <w:bCs w:val="0"/>
                <w:color w:val="000000" w:themeColor="text1"/>
                <w:spacing w:val="0"/>
                <w:kern w:val="2"/>
                <w:sz w:val="21"/>
                <w:szCs w:val="21"/>
                <w:highlight w:val="none"/>
                <w:lang w:val="en-US" w:eastAsia="zh-CN" w:bidi="ar-SA"/>
              </w:rPr>
              <w:t>》，有编制审批，符合标准要求。</w:t>
            </w:r>
          </w:p>
          <w:p>
            <w:pPr>
              <w:spacing w:line="240" w:lineRule="auto"/>
              <w:rPr>
                <w:rFonts w:hint="eastAsia" w:asciiTheme="minorEastAsia" w:hAnsiTheme="minorEastAsia" w:eastAsiaTheme="minorEastAsia" w:cstheme="minorEastAsia"/>
                <w:b w:val="0"/>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 w:val="0"/>
                <w:bCs w:val="0"/>
                <w:color w:val="000000" w:themeColor="text1"/>
                <w:spacing w:val="0"/>
                <w:kern w:val="2"/>
                <w:sz w:val="21"/>
                <w:szCs w:val="21"/>
                <w:highlight w:val="none"/>
                <w:lang w:val="en-US" w:eastAsia="zh-CN" w:bidi="ar-SA"/>
              </w:rPr>
              <w:t>能源方针：</w:t>
            </w:r>
            <w:r>
              <w:rPr>
                <w:rFonts w:hint="eastAsia" w:asciiTheme="minorEastAsia" w:hAnsiTheme="minorEastAsia" w:eastAsiaTheme="minorEastAsia" w:cstheme="minorEastAsia"/>
                <w:b w:val="0"/>
                <w:bCs w:val="0"/>
                <w:sz w:val="21"/>
                <w:szCs w:val="21"/>
                <w:highlight w:val="none"/>
              </w:rPr>
              <w:t>精细管理，科技创新，依法节能，清洁生产，有效运行，持续改进</w:t>
            </w:r>
            <w:r>
              <w:rPr>
                <w:rFonts w:hint="eastAsia" w:asciiTheme="minorEastAsia" w:hAnsiTheme="minorEastAsia" w:eastAsiaTheme="minorEastAsia" w:cstheme="minorEastAsia"/>
                <w:b w:val="0"/>
                <w:bCs w:val="0"/>
                <w:color w:val="000000" w:themeColor="text1"/>
                <w:spacing w:val="0"/>
                <w:kern w:val="2"/>
                <w:sz w:val="21"/>
                <w:szCs w:val="21"/>
                <w:highlight w:val="none"/>
                <w:lang w:val="en-US" w:eastAsia="zh-CN" w:bidi="ar-SA"/>
              </w:rPr>
              <w:t>。能源方针内容基本符合标准要求和企业实际。能源方针由总经理批准发布，以书面、电子媒介、宣传栏等方式，便于员工、顾客及其他相关方所获取，并且予以评审。</w:t>
            </w:r>
          </w:p>
          <w:p>
            <w:pPr>
              <w:pStyle w:val="16"/>
              <w:spacing w:line="240" w:lineRule="auto"/>
              <w:rPr>
                <w:rFonts w:hint="eastAsia" w:asciiTheme="minorEastAsia" w:hAnsiTheme="minorEastAsia" w:eastAsiaTheme="minorEastAsia" w:cstheme="minorEastAsia"/>
                <w:b w:val="0"/>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 w:val="0"/>
                <w:bCs w:val="0"/>
                <w:color w:val="000000" w:themeColor="text1"/>
                <w:spacing w:val="0"/>
                <w:kern w:val="2"/>
                <w:sz w:val="21"/>
                <w:szCs w:val="21"/>
                <w:highlight w:val="none"/>
                <w:lang w:val="en-US" w:eastAsia="zh-CN" w:bidi="ar-SA"/>
              </w:rPr>
              <w:t>公司的能源目标制定和完成情况如下：</w:t>
            </w:r>
          </w:p>
          <w:p>
            <w:pPr>
              <w:pStyle w:val="12"/>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left"/>
              <w:textAlignment w:val="auto"/>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即2021年度的能源目标完成情况：</w:t>
            </w:r>
            <w:r>
              <w:rPr>
                <w:rFonts w:hint="eastAsia" w:asciiTheme="minorEastAsia" w:hAnsiTheme="minorEastAsia" w:eastAsiaTheme="minorEastAsia" w:cstheme="minorEastAsia"/>
                <w:b w:val="0"/>
                <w:bCs w:val="0"/>
                <w:sz w:val="21"/>
                <w:szCs w:val="21"/>
                <w:highlight w:val="none"/>
                <w:lang w:val="en-US" w:eastAsia="zh-CN"/>
              </w:rPr>
              <w:t>2021年炼钢工序单位产品综合能耗为70.299kgce/t</w:t>
            </w:r>
            <w:r>
              <w:rPr>
                <w:rFonts w:hint="eastAsia" w:asciiTheme="minorEastAsia" w:hAnsiTheme="minorEastAsia" w:eastAsiaTheme="minorEastAsia" w:cstheme="minorEastAsia"/>
                <w:b w:val="0"/>
                <w:bCs w:val="0"/>
                <w:kern w:val="2"/>
                <w:sz w:val="21"/>
                <w:szCs w:val="21"/>
                <w:highlight w:val="none"/>
                <w:lang w:val="en-US" w:eastAsia="zh-CN" w:bidi="ar-SA"/>
              </w:rPr>
              <w:t>：</w:t>
            </w:r>
            <w:r>
              <w:rPr>
                <w:rFonts w:hint="eastAsia" w:asciiTheme="minorEastAsia" w:hAnsiTheme="minorEastAsia" w:eastAsiaTheme="minorEastAsia" w:cstheme="minorEastAsia"/>
                <w:b w:val="0"/>
                <w:bCs w:val="0"/>
                <w:sz w:val="21"/>
                <w:szCs w:val="21"/>
                <w:highlight w:val="none"/>
                <w:lang w:val="en-US" w:eastAsia="zh-CN"/>
              </w:rPr>
              <w:t>2021年轧钢工序单位产品综合能耗为29.617kgce/t</w:t>
            </w:r>
            <w:r>
              <w:rPr>
                <w:rFonts w:hint="eastAsia" w:asciiTheme="minorEastAsia" w:hAnsiTheme="minorEastAsia" w:eastAsiaTheme="minorEastAsia" w:cstheme="minorEastAsia"/>
                <w:b w:val="0"/>
                <w:bCs w:val="0"/>
                <w:kern w:val="2"/>
                <w:sz w:val="21"/>
                <w:szCs w:val="21"/>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2022年度能源目标及完成情况：</w:t>
            </w:r>
            <w:r>
              <w:rPr>
                <w:rFonts w:hint="eastAsia" w:asciiTheme="minorEastAsia" w:hAnsiTheme="minorEastAsia" w:eastAsiaTheme="minorEastAsia" w:cstheme="minorEastAsia"/>
                <w:b w:val="0"/>
                <w:bCs w:val="0"/>
                <w:sz w:val="21"/>
                <w:szCs w:val="21"/>
                <w:highlight w:val="none"/>
                <w:lang w:val="en-US" w:eastAsia="zh-CN"/>
              </w:rPr>
              <w:t>炼钢单位产品综合能耗</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70.299kgce/t、轧钢单位产品综合能耗</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29.617kgce/t</w:t>
            </w:r>
            <w:r>
              <w:rPr>
                <w:rFonts w:hint="eastAsia" w:asciiTheme="minorEastAsia" w:hAnsiTheme="minorEastAsia" w:eastAsiaTheme="minorEastAsia" w:cstheme="minorEastAsia"/>
                <w:b w:val="0"/>
                <w:bCs w:val="0"/>
                <w:kern w:val="2"/>
                <w:sz w:val="21"/>
                <w:szCs w:val="21"/>
                <w:highlight w:val="none"/>
                <w:lang w:val="en-US" w:eastAsia="zh-CN" w:bidi="ar-SA"/>
              </w:rPr>
              <w:t>，公司完成目标。</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组织的岗位、职责和权限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5.3 </w:t>
            </w:r>
          </w:p>
        </w:tc>
        <w:tc>
          <w:tcPr>
            <w:tcW w:w="10376" w:type="dxa"/>
          </w:tcPr>
          <w:p>
            <w:pPr>
              <w:spacing w:line="240" w:lineRule="auto"/>
              <w:ind w:firstLine="420" w:firstLineChars="200"/>
              <w:rPr>
                <w:rFonts w:hint="eastAsia" w:asciiTheme="minorEastAsia" w:hAnsiTheme="minorEastAsia" w:eastAsiaTheme="minorEastAsia" w:cstheme="minorEastAsia"/>
                <w:b w:val="0"/>
                <w:bCs w:val="0"/>
                <w:color w:val="000000" w:themeColor="text1"/>
                <w:sz w:val="21"/>
                <w:szCs w:val="21"/>
                <w:lang w:val="en-US" w:eastAsia="zh-CN"/>
              </w:rPr>
            </w:pPr>
            <w:r>
              <w:rPr>
                <w:rFonts w:hint="eastAsia" w:asciiTheme="minorEastAsia" w:hAnsiTheme="minorEastAsia" w:eastAsiaTheme="minorEastAsia" w:cstheme="minorEastAsia"/>
                <w:b w:val="0"/>
                <w:bCs w:val="0"/>
                <w:color w:val="000000" w:themeColor="text1"/>
                <w:sz w:val="21"/>
                <w:szCs w:val="21"/>
                <w:lang w:val="en-US" w:eastAsia="zh-CN"/>
              </w:rPr>
              <w:t>公司成立能源管理团队</w:t>
            </w:r>
            <w:r>
              <w:rPr>
                <w:rFonts w:hint="eastAsia" w:asciiTheme="minorEastAsia" w:hAnsiTheme="minorEastAsia" w:eastAsiaTheme="minorEastAsia" w:cstheme="minorEastAsia"/>
                <w:b w:val="0"/>
                <w:bCs w:val="0"/>
                <w:color w:val="000000" w:themeColor="text1"/>
                <w:sz w:val="21"/>
                <w:szCs w:val="21"/>
                <w:lang w:eastAsia="zh-CN"/>
              </w:rPr>
              <w:t>。</w:t>
            </w:r>
          </w:p>
          <w:p>
            <w:pPr>
              <w:spacing w:line="240" w:lineRule="auto"/>
              <w:ind w:firstLine="420" w:firstLineChars="200"/>
              <w:rPr>
                <w:rFonts w:hint="eastAsia" w:asciiTheme="minorEastAsia" w:hAnsiTheme="minorEastAsia" w:eastAsiaTheme="minorEastAsia" w:cstheme="minorEastAsia"/>
                <w:b w:val="0"/>
                <w:bCs w:val="0"/>
                <w:color w:val="000000" w:themeColor="text1"/>
                <w:sz w:val="21"/>
                <w:szCs w:val="21"/>
                <w:lang w:val="en-US" w:eastAsia="zh-CN"/>
              </w:rPr>
            </w:pPr>
            <w:r>
              <w:rPr>
                <w:rFonts w:hint="eastAsia" w:asciiTheme="minorEastAsia" w:hAnsiTheme="minorEastAsia" w:eastAsiaTheme="minorEastAsia" w:cstheme="minorEastAsia"/>
                <w:b w:val="0"/>
                <w:bCs w:val="0"/>
                <w:color w:val="000000" w:themeColor="text1"/>
                <w:sz w:val="21"/>
                <w:szCs w:val="21"/>
                <w:lang w:val="en-US" w:eastAsia="zh-CN"/>
              </w:rPr>
              <w:t>公司设有</w:t>
            </w:r>
            <w:r>
              <w:rPr>
                <w:rFonts w:hint="eastAsia" w:asciiTheme="minorEastAsia" w:hAnsiTheme="minorEastAsia" w:eastAsiaTheme="minorEastAsia" w:cstheme="minorEastAsia"/>
                <w:b w:val="0"/>
                <w:bCs w:val="0"/>
                <w:color w:val="000000" w:themeColor="text1"/>
                <w:sz w:val="21"/>
                <w:szCs w:val="21"/>
              </w:rPr>
              <w:t>管理层、</w:t>
            </w:r>
            <w:r>
              <w:rPr>
                <w:rFonts w:hint="eastAsia" w:asciiTheme="minorEastAsia" w:hAnsiTheme="minorEastAsia" w:eastAsiaTheme="minorEastAsia" w:cstheme="minorEastAsia"/>
                <w:b w:val="0"/>
                <w:bCs w:val="0"/>
                <w:color w:val="000000" w:themeColor="text1"/>
                <w:sz w:val="21"/>
                <w:szCs w:val="21"/>
                <w:lang w:val="en-US" w:eastAsia="zh-CN"/>
              </w:rPr>
              <w:t>行政办</w:t>
            </w:r>
            <w:r>
              <w:rPr>
                <w:rFonts w:hint="eastAsia" w:asciiTheme="minorEastAsia" w:hAnsiTheme="minorEastAsia" w:eastAsiaTheme="minorEastAsia" w:cstheme="minorEastAsia"/>
                <w:b w:val="0"/>
                <w:bCs w:val="0"/>
                <w:color w:val="000000" w:themeColor="text1"/>
                <w:sz w:val="21"/>
                <w:szCs w:val="21"/>
              </w:rPr>
              <w:t>、</w:t>
            </w:r>
            <w:r>
              <w:rPr>
                <w:rFonts w:hint="eastAsia" w:asciiTheme="minorEastAsia" w:hAnsiTheme="minorEastAsia" w:eastAsiaTheme="minorEastAsia" w:cstheme="minorEastAsia"/>
                <w:b w:val="0"/>
                <w:bCs w:val="0"/>
                <w:color w:val="000000" w:themeColor="text1"/>
                <w:sz w:val="21"/>
                <w:szCs w:val="21"/>
                <w:lang w:val="en-US" w:eastAsia="zh-CN"/>
              </w:rPr>
              <w:t>采购部、销售部、</w:t>
            </w:r>
            <w:r>
              <w:rPr>
                <w:rFonts w:hint="eastAsia" w:asciiTheme="minorEastAsia" w:hAnsiTheme="minorEastAsia" w:eastAsiaTheme="minorEastAsia" w:cstheme="minorEastAsia"/>
                <w:b w:val="0"/>
                <w:bCs w:val="0"/>
                <w:spacing w:val="0"/>
                <w:kern w:val="2"/>
                <w:sz w:val="21"/>
                <w:szCs w:val="21"/>
                <w:lang w:val="en-US" w:eastAsia="zh-CN" w:bidi="ar-SA"/>
              </w:rPr>
              <w:t>生产部、财务部、环境能源部</w:t>
            </w:r>
            <w:r>
              <w:rPr>
                <w:rFonts w:hint="eastAsia" w:asciiTheme="minorEastAsia" w:hAnsiTheme="minorEastAsia" w:eastAsiaTheme="minorEastAsia" w:cstheme="minorEastAsia"/>
                <w:b w:val="0"/>
                <w:bCs w:val="0"/>
                <w:color w:val="000000" w:themeColor="text1"/>
                <w:sz w:val="21"/>
                <w:szCs w:val="21"/>
                <w:lang w:val="en-US" w:eastAsia="zh-CN"/>
              </w:rPr>
              <w:t>等。</w:t>
            </w:r>
          </w:p>
          <w:p>
            <w:pPr>
              <w:spacing w:line="240" w:lineRule="auto"/>
              <w:rPr>
                <w:rFonts w:hint="eastAsia" w:asciiTheme="minorEastAsia" w:hAnsiTheme="minorEastAsia" w:eastAsiaTheme="minorEastAsia" w:cstheme="minorEastAsia"/>
                <w:b w:val="0"/>
                <w:bCs w:val="0"/>
                <w:color w:val="000000" w:themeColor="text1"/>
                <w:sz w:val="21"/>
                <w:szCs w:val="21"/>
                <w:lang w:val="en-US" w:eastAsia="zh-CN"/>
              </w:rPr>
            </w:pPr>
            <w:r>
              <w:rPr>
                <w:rFonts w:hint="eastAsia" w:asciiTheme="minorEastAsia" w:hAnsiTheme="minorEastAsia" w:eastAsiaTheme="minorEastAsia" w:cstheme="minorEastAsia"/>
                <w:b w:val="0"/>
                <w:bCs w:val="0"/>
                <w:color w:val="000000" w:themeColor="text1"/>
                <w:sz w:val="21"/>
                <w:szCs w:val="21"/>
                <w:lang w:val="en-US" w:eastAsia="zh-CN"/>
              </w:rPr>
              <w:t>从管理层到各部门、各岗位能源职责权限均以文件化予以规定在“各职能部门职责”条款中予以规定，编审批齐全。</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应对风险和机遇的措施</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6.1</w:t>
            </w:r>
          </w:p>
        </w:tc>
        <w:tc>
          <w:tcPr>
            <w:tcW w:w="10376" w:type="dxa"/>
          </w:tcPr>
          <w:p>
            <w:pPr>
              <w:ind w:firstLine="420" w:firstLineChars="200"/>
              <w:rPr>
                <w:rFonts w:hint="eastAsia"/>
                <w:lang w:val="en-US" w:eastAsia="zh-CN"/>
              </w:rPr>
            </w:pPr>
            <w:r>
              <w:rPr>
                <w:rFonts w:hint="eastAsia"/>
                <w:lang w:val="en-US" w:eastAsia="zh-CN"/>
              </w:rPr>
              <w:t>提供能源风险和机遇管控清单，符合标准要求。</w:t>
            </w:r>
          </w:p>
          <w:p>
            <w:pPr>
              <w:ind w:firstLine="420" w:firstLineChars="200"/>
              <w:rPr>
                <w:rFonts w:hint="default"/>
                <w:lang w:val="en-US" w:eastAsia="zh-CN"/>
              </w:rPr>
            </w:pPr>
            <w:r>
              <w:rPr>
                <w:rFonts w:hint="eastAsia"/>
                <w:lang w:val="en-US" w:eastAsia="zh-CN"/>
              </w:rPr>
              <w:t>公司通过对目标和战略方向相关影响其实现能源管理体系预期结果的各种内外部环境因素的识别与评价，有效应对风险和机遇。</w:t>
            </w:r>
          </w:p>
          <w:p>
            <w:pPr>
              <w:ind w:firstLine="420" w:firstLineChars="200"/>
              <w:rPr>
                <w:rFonts w:hint="eastAsia"/>
                <w:lang w:val="en-US" w:eastAsia="zh-CN"/>
              </w:rPr>
            </w:pPr>
            <w:r>
              <w:rPr>
                <w:rFonts w:hint="eastAsia"/>
                <w:lang w:val="en-US" w:eastAsia="zh-CN"/>
              </w:rPr>
              <w:t xml:space="preserve">公司管理层通过战略分析与风险识别工作确认影响目标实现的内部和外部风险因素。 </w:t>
            </w:r>
          </w:p>
          <w:p>
            <w:pPr>
              <w:ind w:firstLine="420" w:firstLineChars="200"/>
              <w:rPr>
                <w:rFonts w:hint="eastAsia"/>
                <w:lang w:val="en-US" w:eastAsia="zh-CN"/>
              </w:rPr>
            </w:pPr>
            <w:r>
              <w:rPr>
                <w:rFonts w:hint="eastAsia"/>
                <w:lang w:val="en-US" w:eastAsia="zh-CN"/>
              </w:rPr>
              <w:t>公司的各职能部门、生产单位利用月度生产经营分析会负责对能源风险进行评价，根据风险因素发生的可能性和影响，风险控制与应对；公司建立并严格执行授权管理、决策管理、内部审计、绩效考核及重要岗位权力制衡制度等内控措施，控制重要业务、关键流程、关键控制点和重大风险，对高风险业务程序合规。</w:t>
            </w:r>
          </w:p>
          <w:p>
            <w:pPr>
              <w:ind w:firstLine="420" w:firstLineChars="200"/>
              <w:rPr>
                <w:rFonts w:hint="eastAsia"/>
                <w:lang w:val="en-US" w:eastAsia="zh-CN"/>
              </w:rPr>
            </w:pPr>
            <w:r>
              <w:rPr>
                <w:rFonts w:hint="eastAsia"/>
                <w:lang w:val="en-US" w:eastAsia="zh-CN"/>
              </w:rPr>
              <w:t>提供《能源重要因素清单》，按照：序号、工序、重要能源因素（活动/产品/服务，能源消耗或能源利用效率）、能源种类（一、二次、新能源）、控制措施，共识别出多个高风险因素，均有管控措施。</w:t>
            </w:r>
          </w:p>
          <w:p>
            <w:pPr>
              <w:pStyle w:val="12"/>
              <w:rPr>
                <w:rFonts w:hint="default"/>
                <w:lang w:val="en-US" w:eastAsia="zh-CN"/>
              </w:rPr>
            </w:pPr>
            <w:r>
              <w:rPr>
                <w:rFonts w:hint="eastAsia" w:ascii="方正仿宋简体" w:eastAsia="方正仿宋简体"/>
                <w:b w:val="0"/>
                <w:bCs/>
                <w:i/>
                <w:iCs/>
                <w:sz w:val="21"/>
                <w:szCs w:val="21"/>
                <w:u w:val="single"/>
                <w:lang w:val="en-US" w:eastAsia="zh-CN"/>
              </w:rPr>
              <w:t>经与公司相关人员沟通识别的风险和机遇不充分。</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资源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7.1 </w:t>
            </w:r>
          </w:p>
        </w:tc>
        <w:tc>
          <w:tcPr>
            <w:tcW w:w="10376" w:type="dxa"/>
          </w:tcPr>
          <w:p>
            <w:pPr>
              <w:widowControl/>
              <w:spacing w:after="0"/>
              <w:ind w:firstLine="400" w:firstLineChars="200"/>
              <w:jc w:val="left"/>
              <w:rPr>
                <w:rFonts w:hint="eastAsia"/>
                <w:color w:val="000000" w:themeColor="text1"/>
                <w:szCs w:val="21"/>
              </w:rPr>
            </w:pPr>
            <w:r>
              <w:rPr>
                <w:rFonts w:hint="eastAsia"/>
                <w:color w:val="000000" w:themeColor="text1"/>
                <w:sz w:val="20"/>
              </w:rPr>
              <w:t>公司</w:t>
            </w:r>
            <w:r>
              <w:rPr>
                <w:rFonts w:hint="eastAsia"/>
                <w:color w:val="000000" w:themeColor="text1"/>
                <w:szCs w:val="21"/>
              </w:rPr>
              <w:t>人数</w:t>
            </w:r>
            <w:r>
              <w:rPr>
                <w:rFonts w:hint="eastAsia"/>
                <w:color w:val="000000" w:themeColor="text1"/>
                <w:szCs w:val="21"/>
                <w:lang w:val="en-US" w:eastAsia="zh-CN"/>
              </w:rPr>
              <w:t>200</w:t>
            </w:r>
            <w:r>
              <w:rPr>
                <w:rFonts w:hint="eastAsia"/>
                <w:color w:val="000000" w:themeColor="text1"/>
                <w:szCs w:val="21"/>
              </w:rPr>
              <w:t>人，其中体系覆盖人数</w:t>
            </w:r>
            <w:r>
              <w:rPr>
                <w:rFonts w:hint="eastAsia"/>
                <w:color w:val="000000" w:themeColor="text1"/>
                <w:szCs w:val="21"/>
                <w:lang w:val="en-US" w:eastAsia="zh-CN"/>
              </w:rPr>
              <w:t>200</w:t>
            </w:r>
            <w:r>
              <w:rPr>
                <w:rFonts w:hint="eastAsia"/>
                <w:color w:val="000000" w:themeColor="text1"/>
                <w:szCs w:val="21"/>
              </w:rPr>
              <w:t>人</w:t>
            </w:r>
            <w:r>
              <w:rPr>
                <w:rFonts w:hint="eastAsia"/>
                <w:color w:val="000000" w:themeColor="text1"/>
                <w:szCs w:val="22"/>
              </w:rPr>
              <w:t>。管理人员</w:t>
            </w:r>
            <w:r>
              <w:rPr>
                <w:rFonts w:hint="eastAsia"/>
                <w:color w:val="000000" w:themeColor="text1"/>
                <w:szCs w:val="22"/>
                <w:lang w:val="en-US" w:eastAsia="zh-CN"/>
              </w:rPr>
              <w:t>40</w:t>
            </w:r>
            <w:r>
              <w:rPr>
                <w:rFonts w:hint="eastAsia"/>
                <w:color w:val="000000" w:themeColor="text1"/>
                <w:szCs w:val="22"/>
              </w:rPr>
              <w:t>，作业人员</w:t>
            </w:r>
            <w:r>
              <w:rPr>
                <w:rFonts w:hint="eastAsia"/>
                <w:color w:val="000000" w:themeColor="text1"/>
                <w:szCs w:val="22"/>
                <w:lang w:val="en-US" w:eastAsia="zh-CN"/>
              </w:rPr>
              <w:t>160</w:t>
            </w:r>
            <w:r>
              <w:rPr>
                <w:rFonts w:hint="eastAsia"/>
                <w:color w:val="000000" w:themeColor="text1"/>
                <w:szCs w:val="22"/>
                <w:lang w:eastAsia="zh-CN"/>
              </w:rPr>
              <w:t>，</w:t>
            </w:r>
            <w:r>
              <w:rPr>
                <w:rFonts w:hint="eastAsia"/>
                <w:color w:val="000000" w:themeColor="text1"/>
                <w:szCs w:val="21"/>
              </w:rPr>
              <w:t>从事相同/重复工作人数</w:t>
            </w:r>
            <w:r>
              <w:rPr>
                <w:rFonts w:hint="eastAsia"/>
                <w:color w:val="000000" w:themeColor="text1"/>
                <w:szCs w:val="21"/>
                <w:lang w:val="en-US" w:eastAsia="zh-CN"/>
              </w:rPr>
              <w:t>0</w:t>
            </w:r>
            <w:r>
              <w:rPr>
                <w:rFonts w:hint="eastAsia"/>
                <w:color w:val="000000" w:themeColor="text1"/>
                <w:szCs w:val="21"/>
              </w:rPr>
              <w:t>人；劳务派遣人员0 人；临时工0 人；其中承包商员工数0人；季节工 0 人。</w:t>
            </w:r>
          </w:p>
          <w:p>
            <w:pPr>
              <w:widowControl/>
              <w:spacing w:after="0"/>
              <w:ind w:firstLine="420" w:firstLineChars="200"/>
              <w:jc w:val="left"/>
              <w:rPr>
                <w:color w:val="000000" w:themeColor="text1"/>
              </w:rPr>
            </w:pPr>
            <w:r>
              <w:rPr>
                <w:rFonts w:hint="eastAsia"/>
                <w:color w:val="000000" w:themeColor="text1"/>
                <w:szCs w:val="21"/>
                <w:lang w:val="en-US" w:eastAsia="zh-CN"/>
              </w:rPr>
              <w:t>注册资本50000万元</w:t>
            </w:r>
            <w:r>
              <w:rPr>
                <w:rFonts w:hint="eastAsia"/>
                <w:color w:val="000000" w:themeColor="text1"/>
                <w:sz w:val="20"/>
                <w:szCs w:val="22"/>
              </w:rPr>
              <w:t>。</w:t>
            </w:r>
          </w:p>
          <w:p>
            <w:pPr>
              <w:keepNext w:val="0"/>
              <w:keepLines w:val="0"/>
              <w:widowControl/>
              <w:suppressLineNumbers w:val="0"/>
              <w:jc w:val="left"/>
              <w:rPr>
                <w:rFonts w:hint="eastAsia"/>
                <w:color w:val="000000" w:themeColor="text1"/>
                <w:szCs w:val="21"/>
                <w:lang w:val="en-US" w:eastAsia="zh-CN"/>
              </w:rPr>
            </w:pPr>
            <w:r>
              <w:rPr>
                <w:rFonts w:hint="eastAsia"/>
                <w:color w:val="000000" w:themeColor="text1"/>
                <w:szCs w:val="21"/>
                <w:lang w:val="en-US" w:eastAsia="zh-CN"/>
              </w:rPr>
              <w:t>企业配备</w:t>
            </w:r>
            <w:r>
              <w:rPr>
                <w:rFonts w:hint="eastAsia" w:cs="Times New Roman"/>
                <w:sz w:val="20"/>
                <w:szCs w:val="22"/>
                <w:u w:val="none"/>
                <w:lang w:val="en-US" w:eastAsia="zh-CN"/>
              </w:rPr>
              <w:t>电炉</w:t>
            </w:r>
            <w:r>
              <w:rPr>
                <w:rFonts w:hint="eastAsia" w:ascii="Times New Roman" w:hAnsi="Times New Roman" w:eastAsia="宋体" w:cs="Times New Roman"/>
                <w:sz w:val="20"/>
                <w:szCs w:val="22"/>
                <w:u w:val="none"/>
                <w:lang w:val="en-US" w:eastAsia="zh-CN"/>
              </w:rPr>
              <w:t>、</w:t>
            </w:r>
            <w:r>
              <w:rPr>
                <w:rFonts w:hint="eastAsia" w:cs="Times New Roman"/>
                <w:sz w:val="21"/>
                <w:szCs w:val="21"/>
                <w:u w:val="none"/>
                <w:lang w:val="en-US" w:eastAsia="zh-CN"/>
              </w:rPr>
              <w:t>连铸机、精炼炉、除尘风机、</w:t>
            </w:r>
            <w:r>
              <w:rPr>
                <w:rFonts w:ascii="宋体" w:hAnsi="宋体" w:cs="宋体"/>
                <w:sz w:val="21"/>
                <w:szCs w:val="21"/>
                <w:u w:val="none"/>
              </w:rPr>
              <w:t>轧钢粗轧机</w:t>
            </w:r>
            <w:r>
              <w:rPr>
                <w:rFonts w:hint="eastAsia" w:ascii="宋体" w:hAnsi="宋体" w:cs="宋体"/>
                <w:sz w:val="21"/>
                <w:szCs w:val="21"/>
                <w:u w:val="none"/>
                <w:lang w:eastAsia="zh-CN"/>
              </w:rPr>
              <w:t>、</w:t>
            </w:r>
            <w:r>
              <w:rPr>
                <w:rFonts w:ascii="宋体" w:hAnsi="宋体" w:cs="宋体"/>
                <w:sz w:val="21"/>
                <w:szCs w:val="21"/>
                <w:u w:val="none"/>
              </w:rPr>
              <w:t>轧钢</w:t>
            </w:r>
            <w:r>
              <w:rPr>
                <w:rFonts w:hint="eastAsia" w:ascii="宋体" w:hAnsi="宋体" w:cs="宋体"/>
                <w:sz w:val="21"/>
                <w:szCs w:val="21"/>
                <w:u w:val="none"/>
              </w:rPr>
              <w:t>精</w:t>
            </w:r>
            <w:r>
              <w:rPr>
                <w:rFonts w:ascii="宋体" w:hAnsi="宋体" w:cs="宋体"/>
                <w:sz w:val="21"/>
                <w:szCs w:val="21"/>
                <w:u w:val="none"/>
              </w:rPr>
              <w:t>轧机</w:t>
            </w:r>
            <w:r>
              <w:rPr>
                <w:rFonts w:hint="eastAsia" w:ascii="宋体" w:hAnsi="宋体" w:cs="宋体"/>
                <w:sz w:val="21"/>
                <w:szCs w:val="21"/>
                <w:u w:val="none"/>
              </w:rPr>
              <w:t>组</w:t>
            </w:r>
            <w:r>
              <w:rPr>
                <w:rFonts w:hint="eastAsia" w:ascii="宋体" w:hAnsi="宋体" w:cs="宋体"/>
                <w:sz w:val="21"/>
                <w:szCs w:val="21"/>
                <w:u w:val="none"/>
                <w:lang w:eastAsia="zh-CN"/>
              </w:rPr>
              <w:t>、</w:t>
            </w:r>
            <w:r>
              <w:rPr>
                <w:rFonts w:ascii="宋体" w:hAnsi="宋体" w:cs="宋体"/>
                <w:sz w:val="21"/>
                <w:szCs w:val="21"/>
                <w:u w:val="none"/>
              </w:rPr>
              <w:t>轧钢粗轧机</w:t>
            </w:r>
            <w:r>
              <w:rPr>
                <w:rFonts w:hint="eastAsia" w:ascii="宋体" w:hAnsi="宋体" w:cs="宋体"/>
                <w:sz w:val="21"/>
                <w:szCs w:val="21"/>
                <w:u w:val="none"/>
                <w:lang w:eastAsia="zh-CN"/>
              </w:rPr>
              <w:t>、</w:t>
            </w:r>
            <w:r>
              <w:rPr>
                <w:rFonts w:hint="eastAsia" w:ascii="宋体" w:hAnsi="宋体" w:cs="宋体"/>
                <w:sz w:val="21"/>
                <w:szCs w:val="21"/>
                <w:u w:val="none"/>
                <w:lang w:val="en-US" w:eastAsia="zh-CN"/>
              </w:rPr>
              <w:t>氧压机、烤包器、电机、空压机、</w:t>
            </w:r>
            <w:r>
              <w:rPr>
                <w:rFonts w:hint="eastAsia" w:ascii="Times New Roman" w:hAnsi="Times New Roman" w:eastAsia="宋体" w:cs="Times New Roman"/>
                <w:sz w:val="20"/>
                <w:szCs w:val="22"/>
                <w:u w:val="none"/>
                <w:lang w:val="en-US" w:eastAsia="zh-CN"/>
              </w:rPr>
              <w:t>仓库</w:t>
            </w:r>
            <w:r>
              <w:rPr>
                <w:rFonts w:hint="eastAsia" w:ascii="宋体" w:hAnsi="宋体" w:cs="宋体"/>
                <w:kern w:val="0"/>
                <w:szCs w:val="21"/>
                <w:lang w:val="en-US" w:eastAsia="zh-CN"/>
              </w:rPr>
              <w:t>等</w:t>
            </w:r>
            <w:r>
              <w:rPr>
                <w:rFonts w:hint="eastAsia"/>
                <w:color w:val="000000" w:themeColor="text1"/>
                <w:szCs w:val="21"/>
                <w:lang w:val="en-US" w:eastAsia="zh-CN"/>
              </w:rPr>
              <w:t>设备，消耗能源种类为电力、天然气、水、耗能氧气等，主要消耗能源种类有电力、天然气，能源计量器具，有电表、水表、气表。经识别公司高耗能设备有：</w:t>
            </w:r>
            <w:r>
              <w:rPr>
                <w:rFonts w:hint="eastAsia" w:ascii="宋体" w:hAnsi="宋体" w:eastAsia="宋体" w:cs="宋体"/>
                <w:color w:val="000000"/>
                <w:kern w:val="0"/>
                <w:sz w:val="21"/>
                <w:szCs w:val="21"/>
                <w:lang w:val="en-US" w:eastAsia="zh-CN" w:bidi="ar"/>
              </w:rPr>
              <w:t>电弧炉、精炼炉、串联电抗器等</w:t>
            </w:r>
            <w:r>
              <w:rPr>
                <w:rFonts w:hint="eastAsia"/>
                <w:color w:val="000000" w:themeColor="text1"/>
                <w:szCs w:val="21"/>
                <w:lang w:val="en-US" w:eastAsia="zh-CN"/>
              </w:rPr>
              <w:t>。</w:t>
            </w:r>
          </w:p>
          <w:p>
            <w:pPr>
              <w:ind w:firstLine="420" w:firstLineChars="200"/>
              <w:rPr>
                <w:rFonts w:hint="eastAsia" w:eastAsia="宋体"/>
                <w:color w:val="000000" w:themeColor="text1"/>
                <w:sz w:val="20"/>
                <w:szCs w:val="22"/>
                <w:lang w:val="en-US" w:eastAsia="zh-CN"/>
              </w:rPr>
            </w:pPr>
            <w:r>
              <w:rPr>
                <w:rFonts w:hint="eastAsia"/>
                <w:color w:val="000000" w:themeColor="text1"/>
                <w:szCs w:val="21"/>
              </w:rPr>
              <w:t>公司的组织机构：管理层、</w:t>
            </w:r>
            <w:r>
              <w:rPr>
                <w:rFonts w:hint="eastAsia"/>
                <w:color w:val="000000" w:themeColor="text1"/>
                <w:sz w:val="21"/>
                <w:szCs w:val="21"/>
                <w:lang w:val="en-US" w:eastAsia="zh-CN"/>
              </w:rPr>
              <w:t>行政部</w:t>
            </w:r>
            <w:r>
              <w:rPr>
                <w:rFonts w:hint="eastAsia"/>
                <w:color w:val="000000" w:themeColor="text1"/>
                <w:sz w:val="21"/>
                <w:szCs w:val="21"/>
              </w:rPr>
              <w:t>、</w:t>
            </w:r>
            <w:r>
              <w:rPr>
                <w:rFonts w:hint="eastAsia"/>
                <w:color w:val="000000" w:themeColor="text1"/>
                <w:sz w:val="21"/>
                <w:szCs w:val="21"/>
                <w:lang w:val="en-US" w:eastAsia="zh-CN"/>
              </w:rPr>
              <w:t>采购部、销售部、</w:t>
            </w:r>
            <w:r>
              <w:rPr>
                <w:rFonts w:hint="eastAsia" w:ascii="宋体" w:hAnsi="宋体" w:cs="Times New Roman"/>
                <w:b w:val="0"/>
                <w:bCs w:val="0"/>
                <w:spacing w:val="0"/>
                <w:kern w:val="2"/>
                <w:sz w:val="21"/>
                <w:szCs w:val="21"/>
                <w:lang w:val="en-US" w:eastAsia="zh-CN" w:bidi="ar-SA"/>
              </w:rPr>
              <w:t>生产</w:t>
            </w:r>
            <w:r>
              <w:rPr>
                <w:rFonts w:hint="eastAsia" w:ascii="宋体" w:hAnsi="宋体" w:eastAsia="宋体" w:cs="Times New Roman"/>
                <w:b w:val="0"/>
                <w:bCs w:val="0"/>
                <w:spacing w:val="0"/>
                <w:kern w:val="2"/>
                <w:sz w:val="21"/>
                <w:szCs w:val="21"/>
                <w:lang w:val="en-US" w:eastAsia="zh-CN" w:bidi="ar-SA"/>
              </w:rPr>
              <w:t>部</w:t>
            </w:r>
            <w:r>
              <w:rPr>
                <w:rFonts w:hint="eastAsia" w:ascii="宋体" w:hAnsi="宋体" w:cs="Times New Roman"/>
                <w:b w:val="0"/>
                <w:bCs w:val="0"/>
                <w:spacing w:val="0"/>
                <w:kern w:val="2"/>
                <w:sz w:val="21"/>
                <w:szCs w:val="21"/>
                <w:lang w:val="en-US" w:eastAsia="zh-CN" w:bidi="ar-SA"/>
              </w:rPr>
              <w:t>、财务部、环境能源部</w:t>
            </w:r>
            <w:r>
              <w:rPr>
                <w:rFonts w:hint="eastAsia"/>
                <w:color w:val="000000" w:themeColor="text1"/>
                <w:sz w:val="20"/>
                <w:szCs w:val="22"/>
                <w:lang w:val="en-US" w:eastAsia="zh-CN"/>
              </w:rPr>
              <w:t>等</w:t>
            </w:r>
            <w:r>
              <w:rPr>
                <w:rFonts w:hint="eastAsia"/>
                <w:color w:val="000000" w:themeColor="text1"/>
                <w:szCs w:val="21"/>
              </w:rPr>
              <w:t>。</w:t>
            </w:r>
          </w:p>
          <w:p>
            <w:pPr>
              <w:ind w:firstLine="400" w:firstLineChars="200"/>
              <w:rPr>
                <w:rFonts w:hint="eastAsia"/>
                <w:color w:val="000000" w:themeColor="text1"/>
                <w:sz w:val="20"/>
                <w:lang w:val="en-US" w:eastAsia="zh-CN"/>
              </w:rPr>
            </w:pPr>
            <w:r>
              <w:rPr>
                <w:rFonts w:hint="eastAsia" w:eastAsia="宋体"/>
                <w:color w:val="000000" w:themeColor="text1"/>
                <w:sz w:val="20"/>
                <w:szCs w:val="22"/>
                <w:lang w:val="en-US" w:eastAsia="zh-CN"/>
              </w:rPr>
              <w:t>资源配置能够满足建立、实施、保持和持续改进能源绩效和能源管理体系的有效运行。</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管理评审</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9.3 </w:t>
            </w:r>
          </w:p>
        </w:tc>
        <w:tc>
          <w:tcPr>
            <w:tcW w:w="10376" w:type="dxa"/>
          </w:tcPr>
          <w:p>
            <w:pPr>
              <w:ind w:firstLine="420" w:firstLineChars="200"/>
              <w:rPr>
                <w:rFonts w:hint="default"/>
                <w:lang w:val="en-US" w:eastAsia="zh-CN"/>
              </w:rPr>
            </w:pPr>
            <w:r>
              <w:rPr>
                <w:rFonts w:hint="eastAsia"/>
                <w:lang w:val="en-US" w:eastAsia="zh-CN"/>
              </w:rPr>
              <w:t>提供程序文件《</w:t>
            </w:r>
            <w:r>
              <w:rPr>
                <w:rFonts w:hint="eastAsia" w:asciiTheme="majorEastAsia" w:hAnsiTheme="majorEastAsia" w:eastAsiaTheme="majorEastAsia" w:cstheme="majorEastAsia"/>
                <w:sz w:val="21"/>
                <w:szCs w:val="21"/>
              </w:rPr>
              <w:t>HDGT-CX-13-202</w:t>
            </w:r>
            <w:r>
              <w:rPr>
                <w:rFonts w:hint="eastAsia" w:asciiTheme="majorEastAsia" w:hAnsiTheme="majorEastAsia" w:eastAsiaTheme="majorEastAsia" w:cstheme="majorEastAsia"/>
                <w:sz w:val="21"/>
                <w:szCs w:val="21"/>
                <w:lang w:val="en-US" w:eastAsia="zh-CN"/>
              </w:rPr>
              <w:t>2</w:t>
            </w:r>
            <w:r>
              <w:rPr>
                <w:rFonts w:hint="eastAsia"/>
                <w:lang w:val="en-US" w:eastAsia="zh-CN"/>
              </w:rPr>
              <w:t>管理评审程序》，有编审批，符合标准要求。</w:t>
            </w:r>
          </w:p>
          <w:p>
            <w:pPr>
              <w:ind w:firstLine="420" w:firstLineChars="200"/>
              <w:rPr>
                <w:rFonts w:hint="eastAsia"/>
                <w:lang w:val="en-US" w:eastAsia="zh-CN"/>
              </w:rPr>
            </w:pPr>
            <w:r>
              <w:rPr>
                <w:rFonts w:hint="eastAsia"/>
                <w:lang w:val="en-US" w:eastAsia="zh-CN"/>
              </w:rPr>
              <w:t>1、公司自能源管理体系运行以来组织了一次管理评审，日期： 2022年7月6日。</w:t>
            </w:r>
          </w:p>
          <w:p>
            <w:pPr>
              <w:ind w:firstLine="420" w:firstLineChars="200"/>
              <w:rPr>
                <w:rFonts w:hint="eastAsia"/>
                <w:lang w:val="en-US" w:eastAsia="zh-CN"/>
              </w:rPr>
            </w:pPr>
            <w:r>
              <w:rPr>
                <w:rFonts w:hint="eastAsia"/>
                <w:lang w:val="en-US" w:eastAsia="zh-CN"/>
              </w:rPr>
              <w:t>采用会议形式，总经理：林伟 主持会议。</w:t>
            </w:r>
            <w:r>
              <w:rPr>
                <w:rFonts w:hint="eastAsia"/>
              </w:rPr>
              <w:t>管理层、</w:t>
            </w:r>
            <w:r>
              <w:rPr>
                <w:rFonts w:hint="eastAsia"/>
                <w:lang w:val="en-US" w:eastAsia="zh-CN"/>
              </w:rPr>
              <w:t>行政办</w:t>
            </w:r>
            <w:r>
              <w:rPr>
                <w:rFonts w:hint="eastAsia"/>
              </w:rPr>
              <w:t>、</w:t>
            </w:r>
            <w:r>
              <w:rPr>
                <w:rFonts w:hint="eastAsia"/>
                <w:lang w:val="en-US" w:eastAsia="zh-CN"/>
              </w:rPr>
              <w:t>采购部、销售部、生产部、财务部、环境能源部等负责人均参加。</w:t>
            </w:r>
          </w:p>
          <w:p>
            <w:pPr>
              <w:ind w:firstLine="420" w:firstLineChars="200"/>
              <w:rPr>
                <w:rFonts w:hint="default"/>
                <w:lang w:val="en-US" w:eastAsia="zh-CN"/>
              </w:rPr>
            </w:pPr>
            <w:r>
              <w:rPr>
                <w:rFonts w:hint="eastAsia"/>
                <w:lang w:val="en-US" w:eastAsia="zh-CN"/>
              </w:rPr>
              <w:t>2、提供：管理评审档案，含  1.管理评审计划、2.管理评审报告、3.签到表、各部门管理评审输入资料，编审批齐全。</w:t>
            </w:r>
          </w:p>
          <w:p>
            <w:pPr>
              <w:ind w:firstLine="420" w:firstLineChars="200"/>
              <w:rPr>
                <w:rFonts w:hint="eastAsia"/>
                <w:lang w:val="en-US" w:eastAsia="zh-CN"/>
              </w:rPr>
            </w:pPr>
            <w:r>
              <w:rPr>
                <w:rFonts w:hint="eastAsia"/>
                <w:lang w:val="en-US" w:eastAsia="zh-CN"/>
              </w:rPr>
              <w:t>提供“管理评审会议签到表”总经理、中层以上负责人参加并签到表；</w:t>
            </w:r>
          </w:p>
          <w:p>
            <w:pPr>
              <w:ind w:firstLine="420" w:firstLineChars="200"/>
              <w:rPr>
                <w:rFonts w:hint="eastAsia"/>
                <w:lang w:val="en-US" w:eastAsia="zh-CN"/>
              </w:rPr>
            </w:pPr>
            <w:r>
              <w:rPr>
                <w:rFonts w:hint="eastAsia"/>
                <w:lang w:val="en-US" w:eastAsia="zh-CN"/>
              </w:rPr>
              <w:t>出示“管理评审会议记录”，查评审输入内容包括：</w:t>
            </w:r>
          </w:p>
          <w:p>
            <w:pPr>
              <w:ind w:firstLine="420" w:firstLineChars="200"/>
              <w:rPr>
                <w:rFonts w:hint="eastAsia"/>
                <w:lang w:val="en-US" w:eastAsia="zh-CN"/>
              </w:rPr>
            </w:pPr>
            <w:r>
              <w:rPr>
                <w:rFonts w:hint="eastAsia"/>
                <w:lang w:val="en-US" w:eastAsia="zh-CN"/>
              </w:rPr>
              <w:t>3、评审目的：围绕管理方针和目标的贯彻实施，评价能源管理体系的适宜性，充分性和有效性。</w:t>
            </w:r>
          </w:p>
          <w:p>
            <w:pPr>
              <w:ind w:firstLine="420" w:firstLineChars="200"/>
              <w:rPr>
                <w:rFonts w:hint="eastAsia"/>
                <w:lang w:val="en-US" w:eastAsia="zh-CN"/>
              </w:rPr>
            </w:pPr>
            <w:r>
              <w:rPr>
                <w:rFonts w:hint="eastAsia"/>
                <w:lang w:val="en-US" w:eastAsia="zh-CN"/>
              </w:rPr>
              <w:t>评审组织：主持人：林伟 总经理，出席：管理者代表、各部门负责人。</w:t>
            </w:r>
          </w:p>
          <w:p>
            <w:pPr>
              <w:ind w:firstLine="420" w:firstLineChars="200"/>
              <w:rPr>
                <w:rFonts w:hint="eastAsia"/>
                <w:lang w:val="en-US" w:eastAsia="zh-CN"/>
              </w:rPr>
            </w:pPr>
            <w:r>
              <w:rPr>
                <w:rFonts w:hint="eastAsia"/>
                <w:lang w:val="en-US" w:eastAsia="zh-CN"/>
              </w:rPr>
              <w:t>评审内容：</w:t>
            </w:r>
          </w:p>
          <w:p>
            <w:pPr>
              <w:ind w:firstLine="420" w:firstLineChars="200"/>
              <w:rPr>
                <w:rFonts w:hint="eastAsia"/>
                <w:lang w:val="en-US" w:eastAsia="zh-CN"/>
              </w:rPr>
            </w:pPr>
            <w:r>
              <w:rPr>
                <w:rFonts w:hint="eastAsia"/>
                <w:lang w:val="en-US" w:eastAsia="zh-CN"/>
              </w:rPr>
              <w:t>1）与能源管理体系相关的内、外部因素以及相关的风险和机遇的变化；</w:t>
            </w:r>
          </w:p>
          <w:p>
            <w:pPr>
              <w:ind w:firstLine="420" w:firstLineChars="200"/>
              <w:rPr>
                <w:rFonts w:hint="eastAsia"/>
                <w:lang w:val="en-US" w:eastAsia="zh-CN"/>
              </w:rPr>
            </w:pPr>
            <w:r>
              <w:rPr>
                <w:rFonts w:hint="eastAsia"/>
                <w:lang w:val="en-US" w:eastAsia="zh-CN"/>
              </w:rPr>
              <w:t>2）有关能源管理体系绩效方面的信息，包括其趋势：不符合和纠正措施；监视和测量结果；审核结果；法律法规和其他要求的符合性评价结果。</w:t>
            </w:r>
          </w:p>
          <w:p>
            <w:pPr>
              <w:ind w:firstLine="420" w:firstLineChars="200"/>
              <w:rPr>
                <w:rFonts w:hint="eastAsia"/>
                <w:lang w:val="en-US" w:eastAsia="zh-CN"/>
              </w:rPr>
            </w:pPr>
            <w:r>
              <w:rPr>
                <w:rFonts w:hint="eastAsia"/>
                <w:lang w:val="en-US" w:eastAsia="zh-CN"/>
              </w:rPr>
              <w:t>3）持续改进的机会，包括人员能力；</w:t>
            </w:r>
          </w:p>
          <w:p>
            <w:pPr>
              <w:ind w:firstLine="420" w:firstLineChars="200"/>
              <w:rPr>
                <w:rFonts w:hint="eastAsia"/>
                <w:lang w:val="en-US" w:eastAsia="zh-CN"/>
              </w:rPr>
            </w:pPr>
            <w:r>
              <w:rPr>
                <w:rFonts w:hint="eastAsia"/>
                <w:lang w:val="en-US" w:eastAsia="zh-CN"/>
              </w:rPr>
              <w:t>4）能源方针；</w:t>
            </w:r>
          </w:p>
          <w:p>
            <w:pPr>
              <w:ind w:firstLine="420" w:firstLineChars="200"/>
              <w:rPr>
                <w:rFonts w:hint="default"/>
                <w:lang w:val="en-US" w:eastAsia="zh-CN"/>
              </w:rPr>
            </w:pPr>
            <w:r>
              <w:rPr>
                <w:rFonts w:hint="eastAsia"/>
                <w:lang w:val="en-US" w:eastAsia="zh-CN"/>
              </w:rPr>
              <w:t>5）能源绩效有关的信息，应包括：目标和能源指标的实现程度；基于监视和测量结果（包括能源绩效参数）的能源绩效和能源绩效改进；措施计划的状况。等等</w:t>
            </w:r>
          </w:p>
          <w:p>
            <w:pPr>
              <w:pStyle w:val="16"/>
              <w:rPr>
                <w:rFonts w:hint="default"/>
                <w:lang w:val="en-US" w:eastAsia="zh-CN"/>
              </w:rPr>
            </w:pPr>
            <w:r>
              <w:rPr>
                <w:rFonts w:hint="eastAsia"/>
                <w:lang w:val="en-US" w:eastAsia="zh-CN"/>
              </w:rPr>
              <w:t xml:space="preserve">   各管理部门以及管理者代表均有输入材料。符合标准要求。</w:t>
            </w:r>
          </w:p>
          <w:p>
            <w:pPr>
              <w:ind w:firstLine="420" w:firstLineChars="200"/>
              <w:rPr>
                <w:rFonts w:hint="eastAsia"/>
                <w:lang w:val="en-US" w:eastAsia="zh-CN"/>
              </w:rPr>
            </w:pPr>
            <w:r>
              <w:rPr>
                <w:rFonts w:hint="eastAsia"/>
                <w:lang w:val="en-US" w:eastAsia="zh-CN"/>
              </w:rPr>
              <w:t xml:space="preserve">4、管理评审输出，形成《管理评审报告》编审批齐全 。   </w:t>
            </w:r>
          </w:p>
          <w:p>
            <w:pPr>
              <w:ind w:firstLine="420" w:firstLineChars="200"/>
              <w:rPr>
                <w:rFonts w:hint="eastAsia"/>
                <w:lang w:val="en-US" w:eastAsia="zh-CN"/>
              </w:rPr>
            </w:pPr>
            <w:r>
              <w:rPr>
                <w:rFonts w:hint="eastAsia"/>
                <w:lang w:val="en-US" w:eastAsia="zh-CN"/>
              </w:rPr>
              <w:t>管理评审结论：公司能源管理体系整体来看保持了持续的适宜性、充分性和有效性。</w:t>
            </w:r>
          </w:p>
          <w:p>
            <w:pPr>
              <w:ind w:firstLine="420" w:firstLineChars="200"/>
              <w:rPr>
                <w:rFonts w:hint="eastAsia"/>
                <w:lang w:val="en-US" w:eastAsia="zh-CN"/>
              </w:rPr>
            </w:pPr>
            <w:r>
              <w:rPr>
                <w:rFonts w:hint="eastAsia"/>
                <w:lang w:val="en-US" w:eastAsia="zh-CN"/>
              </w:rPr>
              <w:t>综上所述，公司建立的能源管理体系是充分、适宜和有效。</w:t>
            </w:r>
          </w:p>
          <w:p>
            <w:pPr>
              <w:pStyle w:val="12"/>
              <w:rPr>
                <w:rFonts w:hint="eastAsia"/>
                <w:lang w:val="en-US" w:eastAsia="zh-CN"/>
              </w:rPr>
            </w:pPr>
            <w:r>
              <w:rPr>
                <w:rFonts w:hint="eastAsia" w:asciiTheme="minorEastAsia" w:hAnsiTheme="minorEastAsia" w:eastAsiaTheme="minorEastAsia" w:cstheme="minorEastAsia"/>
                <w:b w:val="0"/>
                <w:bCs/>
                <w:i/>
                <w:iCs/>
                <w:sz w:val="21"/>
                <w:szCs w:val="21"/>
                <w:u w:val="single"/>
                <w:lang w:val="en-US" w:eastAsia="zh-CN"/>
              </w:rPr>
              <w:t>受审核方管理评审记录中各部门的输入材料不充分。</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持续改进</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 xml:space="preserve">10.2 </w:t>
            </w:r>
          </w:p>
        </w:tc>
        <w:tc>
          <w:tcPr>
            <w:tcW w:w="10376" w:type="dxa"/>
            <w:vAlign w:val="top"/>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公司通过日常管理与检查、内审、管理评审等过程的控制实现持续改进。符合标准要求。</w:t>
            </w:r>
          </w:p>
          <w:p>
            <w:pPr>
              <w:spacing w:line="240" w:lineRule="auto"/>
              <w:ind w:firstLine="400" w:firstLineChars="200"/>
              <w:rPr>
                <w:rFonts w:hint="default"/>
                <w:color w:val="000000" w:themeColor="text1"/>
                <w:sz w:val="21"/>
                <w:szCs w:val="21"/>
                <w:lang w:val="en-US" w:eastAsia="zh-CN"/>
              </w:rPr>
            </w:pPr>
            <w:r>
              <w:rPr>
                <w:rFonts w:hint="eastAsia"/>
                <w:color w:val="000000" w:themeColor="text1"/>
                <w:sz w:val="20"/>
                <w:lang w:val="en-US" w:eastAsia="zh-CN"/>
              </w:rPr>
              <w:t>提供</w:t>
            </w:r>
            <w:r>
              <w:rPr>
                <w:rFonts w:hint="eastAsia"/>
                <w:color w:val="000000" w:themeColor="text1"/>
                <w:sz w:val="21"/>
                <w:szCs w:val="21"/>
                <w:lang w:val="en-US" w:eastAsia="zh-CN"/>
              </w:rPr>
              <w:t>公司能源管理评审报告：</w:t>
            </w:r>
          </w:p>
          <w:p>
            <w:pPr>
              <w:spacing w:line="240" w:lineRule="auto"/>
              <w:ind w:firstLine="420" w:firstLineChars="200"/>
              <w:rPr>
                <w:rFonts w:ascii="宋体" w:hAnsi="宋体"/>
                <w:sz w:val="21"/>
                <w:szCs w:val="21"/>
              </w:rPr>
            </w:pPr>
            <w:r>
              <w:rPr>
                <w:rFonts w:hint="eastAsia"/>
                <w:color w:val="000000" w:themeColor="text1"/>
                <w:sz w:val="21"/>
                <w:szCs w:val="21"/>
                <w:lang w:val="en-US" w:eastAsia="zh-CN"/>
              </w:rPr>
              <w:t>提出近期改进的方面：</w:t>
            </w:r>
            <w:r>
              <w:rPr>
                <w:rFonts w:hint="eastAsia" w:ascii="宋体" w:hAnsi="宋体"/>
                <w:sz w:val="21"/>
                <w:szCs w:val="21"/>
              </w:rPr>
              <w:t>加强能源管理相关法律法规的教育，加强对能源使用有关岗位的培训，提高职工节能意识；关注同行业生产的相关先进技术、国家推广技术，根据自身实际生产条件学习应用</w:t>
            </w:r>
            <w:r>
              <w:rPr>
                <w:rFonts w:hint="eastAsia" w:ascii="宋体" w:hAnsi="宋体"/>
                <w:sz w:val="21"/>
                <w:szCs w:val="21"/>
                <w:lang w:val="en-US" w:eastAsia="zh-CN"/>
              </w:rPr>
              <w:t>等。</w:t>
            </w:r>
          </w:p>
          <w:p>
            <w:pPr>
              <w:pStyle w:val="16"/>
              <w:spacing w:line="240" w:lineRule="auto"/>
              <w:ind w:firstLine="420" w:firstLineChars="200"/>
              <w:rPr>
                <w:rFonts w:hint="default"/>
                <w:color w:val="000000" w:themeColor="text1"/>
                <w:lang w:val="en-US" w:eastAsia="zh-CN"/>
              </w:rPr>
            </w:pPr>
            <w:r>
              <w:rPr>
                <w:rFonts w:hint="eastAsia" w:cs="Times New Roman"/>
                <w:bCs w:val="0"/>
                <w:color w:val="000000" w:themeColor="text1"/>
                <w:spacing w:val="0"/>
                <w:kern w:val="2"/>
                <w:sz w:val="21"/>
                <w:szCs w:val="21"/>
                <w:lang w:val="en-US" w:eastAsia="zh-CN" w:bidi="ar-SA"/>
              </w:rPr>
              <w:t>基本符合公司实际情况</w:t>
            </w:r>
            <w:r>
              <w:rPr>
                <w:rFonts w:hint="eastAsia" w:ascii="Times New Roman" w:hAnsi="Times New Roman" w:eastAsia="宋体" w:cs="Times New Roman"/>
                <w:bCs w:val="0"/>
                <w:color w:val="000000" w:themeColor="text1"/>
                <w:spacing w:val="0"/>
                <w:kern w:val="2"/>
                <w:sz w:val="21"/>
                <w:szCs w:val="21"/>
                <w:lang w:val="en-US" w:eastAsia="zh-CN" w:bidi="ar-SA"/>
              </w:rPr>
              <w:t>。</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vAlign w:val="top"/>
          </w:tcPr>
          <w:p>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对一阶段问题整改情况的确认</w:t>
            </w:r>
          </w:p>
        </w:tc>
        <w:tc>
          <w:tcPr>
            <w:tcW w:w="960" w:type="dxa"/>
            <w:vAlign w:val="top"/>
          </w:tcPr>
          <w:p>
            <w:pPr>
              <w:rPr>
                <w:rFonts w:hint="eastAsia" w:cs="Times New Roman" w:asciiTheme="minorEastAsia" w:hAnsiTheme="minorEastAsia" w:eastAsiaTheme="minorEastAsia"/>
                <w:color w:val="000000" w:themeColor="text1"/>
                <w:kern w:val="2"/>
                <w:sz w:val="21"/>
                <w:szCs w:val="21"/>
                <w:lang w:val="en-US" w:eastAsia="zh-CN" w:bidi="ar-SA"/>
              </w:rPr>
            </w:pPr>
          </w:p>
        </w:tc>
        <w:tc>
          <w:tcPr>
            <w:tcW w:w="10376" w:type="dxa"/>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Times New Roman" w:asciiTheme="minorEastAsia" w:hAnsiTheme="minorEastAsia" w:eastAsiaTheme="minorEastAsia"/>
                <w:b/>
                <w:bCs/>
                <w:color w:val="000000" w:themeColor="text1"/>
                <w:kern w:val="2"/>
                <w:sz w:val="21"/>
                <w:szCs w:val="21"/>
                <w:lang w:val="en-US" w:eastAsia="zh-CN" w:bidi="ar-SA"/>
              </w:rPr>
            </w:pPr>
            <w:r>
              <w:rPr>
                <w:rFonts w:hint="eastAsia" w:asciiTheme="minorEastAsia" w:hAnsiTheme="minorEastAsia" w:eastAsiaTheme="minorEastAsia"/>
                <w:color w:val="000000" w:themeColor="text1"/>
                <w:szCs w:val="21"/>
                <w:highlight w:val="none"/>
              </w:rPr>
              <w:t>一阶段问题：</w:t>
            </w:r>
            <w:r>
              <w:rPr>
                <w:rFonts w:hint="eastAsia"/>
                <w:color w:val="000000"/>
                <w:sz w:val="21"/>
                <w:szCs w:val="21"/>
                <w:highlight w:val="none"/>
                <w:lang w:val="en-US" w:eastAsia="zh-CN"/>
              </w:rPr>
              <w:t>提供的能源评审报告需要补充了以下资料：过去能源使用情况、能源基准期及相关数据、评估未来能源使用和能源消耗等。</w:t>
            </w:r>
            <w:r>
              <w:rPr>
                <w:rFonts w:hint="eastAsia" w:asciiTheme="minorEastAsia" w:hAnsiTheme="minorEastAsia" w:eastAsiaTheme="minorEastAsia"/>
                <w:color w:val="000000" w:themeColor="text1"/>
                <w:szCs w:val="21"/>
                <w:highlight w:val="none"/>
              </w:rPr>
              <w:t>在二阶段审核前问题均进行沟通。</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bl>
    <w:p>
      <w:pPr>
        <w:pStyle w:val="8"/>
        <w:rPr>
          <w:rFonts w:hint="eastAsia"/>
          <w:color w:val="000000" w:themeColor="text1"/>
        </w:rPr>
      </w:pPr>
      <w:r>
        <w:rPr>
          <w:rFonts w:hint="eastAsia"/>
          <w:color w:val="000000" w:themeColor="text1"/>
        </w:rPr>
        <w:t>说明：不符合标注N</w:t>
      </w: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eastAsia="宋体"/>
                <w:sz w:val="21"/>
                <w:szCs w:val="21"/>
                <w:lang w:val="en-US" w:eastAsia="zh-CN"/>
              </w:rPr>
            </w:pPr>
            <w:r>
              <w:rPr>
                <w:rFonts w:hint="eastAsia" w:eastAsia="宋体"/>
                <w:sz w:val="21"/>
                <w:szCs w:val="21"/>
                <w:lang w:val="en-US" w:eastAsia="zh-CN"/>
              </w:rPr>
              <w:t>过程与活动、</w:t>
            </w:r>
          </w:p>
          <w:p>
            <w:pPr>
              <w:rPr>
                <w:rFonts w:hint="eastAsia" w:eastAsia="宋体"/>
                <w:sz w:val="21"/>
                <w:szCs w:val="21"/>
                <w:lang w:val="en-US" w:eastAsia="zh-CN"/>
              </w:rPr>
            </w:pPr>
            <w:r>
              <w:rPr>
                <w:rFonts w:hint="eastAsia" w:eastAsia="宋体"/>
                <w:sz w:val="21"/>
                <w:szCs w:val="21"/>
                <w:lang w:val="en-US" w:eastAsia="zh-CN"/>
              </w:rPr>
              <w:t>抽样计划</w:t>
            </w:r>
          </w:p>
        </w:tc>
        <w:tc>
          <w:tcPr>
            <w:tcW w:w="960" w:type="dxa"/>
            <w:vMerge w:val="restart"/>
            <w:vAlign w:val="center"/>
          </w:tcPr>
          <w:p>
            <w:pPr>
              <w:rPr>
                <w:rFonts w:hint="eastAsia" w:eastAsia="宋体"/>
                <w:sz w:val="21"/>
                <w:szCs w:val="21"/>
                <w:lang w:val="en-US" w:eastAsia="zh-CN"/>
              </w:rPr>
            </w:pPr>
            <w:r>
              <w:rPr>
                <w:rFonts w:hint="eastAsia" w:eastAsia="宋体"/>
                <w:sz w:val="21"/>
                <w:szCs w:val="21"/>
                <w:lang w:val="en-US" w:eastAsia="zh-CN"/>
              </w:rPr>
              <w:t>涉及</w:t>
            </w:r>
          </w:p>
          <w:p>
            <w:pPr>
              <w:rPr>
                <w:rFonts w:hint="eastAsia" w:eastAsia="宋体"/>
                <w:sz w:val="21"/>
                <w:szCs w:val="21"/>
                <w:lang w:val="en-US" w:eastAsia="zh-CN"/>
              </w:rPr>
            </w:pPr>
            <w:r>
              <w:rPr>
                <w:rFonts w:hint="eastAsia" w:eastAsia="宋体"/>
                <w:sz w:val="21"/>
                <w:szCs w:val="21"/>
                <w:lang w:val="en-US" w:eastAsia="zh-CN"/>
              </w:rPr>
              <w:t>条款</w:t>
            </w:r>
          </w:p>
        </w:tc>
        <w:tc>
          <w:tcPr>
            <w:tcW w:w="10738" w:type="dxa"/>
            <w:vAlign w:val="center"/>
          </w:tcPr>
          <w:p>
            <w:pPr>
              <w:rPr>
                <w:rFonts w:hint="default" w:eastAsia="宋体"/>
                <w:sz w:val="21"/>
                <w:szCs w:val="21"/>
                <w:lang w:val="en-US" w:eastAsia="zh-CN"/>
              </w:rPr>
            </w:pPr>
            <w:r>
              <w:rPr>
                <w:rFonts w:hint="eastAsia" w:eastAsia="宋体"/>
                <w:sz w:val="21"/>
                <w:szCs w:val="21"/>
                <w:lang w:val="en-US" w:eastAsia="zh-CN"/>
              </w:rPr>
              <w:t>受审核部门：</w:t>
            </w:r>
            <w:r>
              <w:rPr>
                <w:rFonts w:hint="eastAsia"/>
                <w:sz w:val="21"/>
                <w:szCs w:val="21"/>
                <w:lang w:val="en-US" w:eastAsia="zh-CN"/>
              </w:rPr>
              <w:t>采购部</w:t>
            </w:r>
            <w:r>
              <w:rPr>
                <w:rFonts w:hint="eastAsia" w:ascii="Times New Roman" w:hAnsi="Times New Roman" w:eastAsia="宋体" w:cs="Times New Roman"/>
                <w:sz w:val="21"/>
                <w:szCs w:val="21"/>
                <w:lang w:val="en-US" w:eastAsia="zh-CN"/>
              </w:rPr>
              <w:t xml:space="preserve"> </w:t>
            </w:r>
            <w:r>
              <w:rPr>
                <w:rFonts w:hint="eastAsia" w:eastAsia="宋体"/>
                <w:sz w:val="21"/>
                <w:szCs w:val="21"/>
                <w:lang w:val="en-US" w:eastAsia="zh-CN"/>
              </w:rPr>
              <w:t xml:space="preserve">    主管领导：</w:t>
            </w:r>
            <w:r>
              <w:rPr>
                <w:rFonts w:hint="eastAsia"/>
                <w:sz w:val="21"/>
                <w:szCs w:val="21"/>
                <w:lang w:val="en-US" w:eastAsia="zh-CN"/>
              </w:rPr>
              <w:t>陈永平</w:t>
            </w:r>
            <w:r>
              <w:rPr>
                <w:rFonts w:hint="eastAsia" w:eastAsia="宋体"/>
                <w:sz w:val="21"/>
                <w:szCs w:val="21"/>
                <w:lang w:val="en-US" w:eastAsia="zh-CN"/>
              </w:rPr>
              <w:t xml:space="preserve">    陪同人员： </w:t>
            </w:r>
            <w:r>
              <w:rPr>
                <w:rFonts w:hint="eastAsia"/>
                <w:color w:val="000000" w:themeColor="text1"/>
                <w:szCs w:val="21"/>
                <w:lang w:val="en-US" w:eastAsia="zh-CN"/>
              </w:rPr>
              <w:t>王昭阳</w:t>
            </w:r>
          </w:p>
        </w:tc>
        <w:tc>
          <w:tcPr>
            <w:tcW w:w="851" w:type="dxa"/>
            <w:vMerge w:val="restart"/>
            <w:vAlign w:val="center"/>
          </w:tcPr>
          <w:p>
            <w:pPr>
              <w:rPr>
                <w:rFonts w:hint="eastAsia" w:eastAsia="宋体"/>
                <w:sz w:val="21"/>
                <w:szCs w:val="21"/>
                <w:lang w:val="en-US" w:eastAsia="zh-CN"/>
              </w:rPr>
            </w:pPr>
            <w:r>
              <w:rPr>
                <w:rFonts w:hint="eastAsia" w:eastAsia="宋体"/>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eastAsia="宋体"/>
                <w:sz w:val="21"/>
                <w:szCs w:val="21"/>
                <w:lang w:val="en-US" w:eastAsia="zh-CN"/>
              </w:rPr>
            </w:pPr>
          </w:p>
        </w:tc>
        <w:tc>
          <w:tcPr>
            <w:tcW w:w="960" w:type="dxa"/>
            <w:vMerge w:val="continue"/>
            <w:vAlign w:val="center"/>
          </w:tcPr>
          <w:p>
            <w:pPr>
              <w:rPr>
                <w:rFonts w:hint="eastAsia" w:eastAsia="宋体"/>
                <w:sz w:val="21"/>
                <w:szCs w:val="21"/>
                <w:lang w:val="en-US" w:eastAsia="zh-CN"/>
              </w:rPr>
            </w:pPr>
          </w:p>
        </w:tc>
        <w:tc>
          <w:tcPr>
            <w:tcW w:w="10738" w:type="dxa"/>
            <w:vAlign w:val="center"/>
          </w:tcPr>
          <w:p>
            <w:pPr>
              <w:rPr>
                <w:rFonts w:hint="default" w:eastAsia="宋体"/>
                <w:sz w:val="21"/>
                <w:szCs w:val="21"/>
                <w:lang w:val="en-US" w:eastAsia="zh-CN"/>
              </w:rPr>
            </w:pPr>
            <w:r>
              <w:rPr>
                <w:rFonts w:hint="eastAsia" w:eastAsia="宋体"/>
                <w:sz w:val="21"/>
                <w:szCs w:val="21"/>
                <w:lang w:val="en-US" w:eastAsia="zh-CN"/>
              </w:rPr>
              <w:t>审核员：</w:t>
            </w:r>
            <w:r>
              <w:rPr>
                <w:rFonts w:hint="eastAsia"/>
                <w:sz w:val="21"/>
                <w:szCs w:val="21"/>
                <w:lang w:val="en-US" w:eastAsia="zh-CN"/>
              </w:rPr>
              <w:t>范玲玲</w:t>
            </w:r>
            <w:r>
              <w:rPr>
                <w:rFonts w:hint="eastAsia" w:eastAsia="宋体"/>
                <w:sz w:val="21"/>
                <w:szCs w:val="21"/>
                <w:lang w:val="en-US" w:eastAsia="zh-CN"/>
              </w:rPr>
              <w:t xml:space="preserve">             审核时间：2022</w:t>
            </w:r>
            <w:r>
              <w:rPr>
                <w:rFonts w:hint="eastAsia"/>
                <w:sz w:val="21"/>
                <w:szCs w:val="21"/>
                <w:lang w:val="en-US" w:eastAsia="zh-CN"/>
              </w:rPr>
              <w:t>.</w:t>
            </w:r>
            <w:r>
              <w:rPr>
                <w:rFonts w:hint="eastAsia" w:eastAsia="宋体"/>
                <w:sz w:val="21"/>
                <w:szCs w:val="21"/>
                <w:lang w:val="en-US" w:eastAsia="zh-CN"/>
              </w:rPr>
              <w:t>9</w:t>
            </w:r>
            <w:r>
              <w:rPr>
                <w:rFonts w:hint="eastAsia"/>
                <w:sz w:val="21"/>
                <w:szCs w:val="21"/>
                <w:lang w:val="en-US" w:eastAsia="zh-CN"/>
              </w:rPr>
              <w:t>.15-16</w:t>
            </w:r>
          </w:p>
        </w:tc>
        <w:tc>
          <w:tcPr>
            <w:tcW w:w="851" w:type="dxa"/>
            <w:vMerge w:val="continue"/>
          </w:tcPr>
          <w:p>
            <w:pPr>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60" w:type="dxa"/>
            <w:vMerge w:val="continue"/>
            <w:vAlign w:val="center"/>
          </w:tcPr>
          <w:p>
            <w:pPr>
              <w:rPr>
                <w:rFonts w:hint="eastAsia" w:eastAsia="宋体"/>
                <w:sz w:val="21"/>
                <w:szCs w:val="21"/>
                <w:lang w:val="en-US" w:eastAsia="zh-CN"/>
              </w:rPr>
            </w:pPr>
          </w:p>
        </w:tc>
        <w:tc>
          <w:tcPr>
            <w:tcW w:w="960" w:type="dxa"/>
            <w:vMerge w:val="continue"/>
            <w:vAlign w:val="center"/>
          </w:tcPr>
          <w:p>
            <w:pPr>
              <w:rPr>
                <w:rFonts w:hint="eastAsia" w:eastAsia="宋体"/>
                <w:sz w:val="21"/>
                <w:szCs w:val="21"/>
                <w:lang w:val="en-US" w:eastAsia="zh-CN"/>
              </w:rPr>
            </w:pPr>
          </w:p>
        </w:tc>
        <w:tc>
          <w:tcPr>
            <w:tcW w:w="10738" w:type="dxa"/>
            <w:vAlign w:val="center"/>
          </w:tcPr>
          <w:p>
            <w:pPr>
              <w:rPr>
                <w:rFonts w:hint="eastAsia" w:eastAsia="宋体"/>
                <w:sz w:val="21"/>
                <w:szCs w:val="21"/>
                <w:lang w:val="en-US" w:eastAsia="zh-CN"/>
              </w:rPr>
            </w:pPr>
            <w:r>
              <w:rPr>
                <w:rFonts w:hint="eastAsia" w:eastAsia="宋体"/>
                <w:sz w:val="21"/>
                <w:szCs w:val="21"/>
                <w:lang w:val="en-US" w:eastAsia="zh-CN"/>
              </w:rPr>
              <w:t>审核条款：</w:t>
            </w:r>
            <w:r>
              <w:rPr>
                <w:rFonts w:hint="eastAsia" w:asciiTheme="minorEastAsia" w:hAnsiTheme="minorEastAsia" w:eastAsiaTheme="minorEastAsia" w:cstheme="minorEastAsia"/>
                <w:sz w:val="21"/>
                <w:szCs w:val="21"/>
              </w:rPr>
              <w:t>5.3 组织的岗位、职责和权限、6.2 目标、能源指及其实现的策划、</w:t>
            </w:r>
            <w:r>
              <w:rPr>
                <w:rFonts w:hint="eastAsia" w:asciiTheme="minorEastAsia" w:hAnsiTheme="minorEastAsia" w:eastAsiaTheme="minorEastAsia" w:cstheme="minorEastAsia"/>
                <w:b w:val="0"/>
                <w:bCs w:val="0"/>
                <w:sz w:val="21"/>
                <w:szCs w:val="21"/>
                <w:lang w:val="en-US" w:eastAsia="zh-CN"/>
              </w:rPr>
              <w:t>8.1运行的策划和控制；</w:t>
            </w:r>
            <w:r>
              <w:rPr>
                <w:rFonts w:hint="eastAsia" w:asciiTheme="minorEastAsia" w:hAnsiTheme="minorEastAsia" w:eastAsiaTheme="minorEastAsia" w:cstheme="minorEastAsia"/>
                <w:sz w:val="21"/>
                <w:szCs w:val="21"/>
              </w:rPr>
              <w:t>8.3采购</w:t>
            </w:r>
            <w:r>
              <w:rPr>
                <w:rFonts w:hint="eastAsia" w:eastAsia="宋体"/>
                <w:sz w:val="21"/>
                <w:szCs w:val="21"/>
                <w:lang w:val="en-US" w:eastAsia="zh-CN"/>
              </w:rPr>
              <w:t>。EnMS:5.3/6.2/8.1/8.3。</w:t>
            </w:r>
          </w:p>
        </w:tc>
        <w:tc>
          <w:tcPr>
            <w:tcW w:w="851" w:type="dxa"/>
            <w:vMerge w:val="continue"/>
          </w:tcPr>
          <w:p>
            <w:pPr>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tcPr>
          <w:p>
            <w:pPr>
              <w:rPr>
                <w:rFonts w:hint="eastAsia" w:eastAsia="宋体"/>
                <w:sz w:val="21"/>
                <w:szCs w:val="21"/>
                <w:lang w:val="en-US" w:eastAsia="zh-CN"/>
              </w:rPr>
            </w:pPr>
            <w:r>
              <w:rPr>
                <w:rFonts w:hint="eastAsia" w:eastAsia="宋体"/>
                <w:sz w:val="21"/>
                <w:szCs w:val="21"/>
                <w:lang w:val="en-US" w:eastAsia="zh-CN"/>
              </w:rPr>
              <w:t>1.组织的岗位、职责和权限，</w:t>
            </w:r>
          </w:p>
          <w:p>
            <w:pPr>
              <w:rPr>
                <w:rFonts w:hint="eastAsia" w:eastAsia="宋体"/>
                <w:sz w:val="21"/>
                <w:szCs w:val="21"/>
                <w:lang w:val="en-US" w:eastAsia="zh-CN"/>
              </w:rPr>
            </w:pPr>
          </w:p>
        </w:tc>
        <w:tc>
          <w:tcPr>
            <w:tcW w:w="960" w:type="dxa"/>
          </w:tcPr>
          <w:p>
            <w:pPr>
              <w:rPr>
                <w:rFonts w:hint="eastAsia" w:eastAsia="宋体"/>
                <w:sz w:val="21"/>
                <w:szCs w:val="21"/>
                <w:lang w:val="en-US" w:eastAsia="zh-CN"/>
              </w:rPr>
            </w:pPr>
            <w:r>
              <w:rPr>
                <w:rFonts w:hint="eastAsia" w:eastAsia="宋体"/>
                <w:sz w:val="21"/>
                <w:szCs w:val="21"/>
                <w:lang w:val="en-US" w:eastAsia="zh-CN"/>
              </w:rPr>
              <w:t>5.3</w:t>
            </w:r>
          </w:p>
        </w:tc>
        <w:tc>
          <w:tcPr>
            <w:tcW w:w="10738" w:type="dxa"/>
          </w:tcPr>
          <w:p>
            <w:pPr>
              <w:autoSpaceDE w:val="0"/>
              <w:autoSpaceDN w:val="0"/>
              <w:adjustRightInd w:val="0"/>
              <w:rPr>
                <w:rFonts w:hint="eastAsia"/>
                <w:lang w:val="zh-CN"/>
              </w:rPr>
            </w:pPr>
            <w:r>
              <w:rPr>
                <w:rFonts w:hint="eastAsia"/>
                <w:lang w:val="en-US" w:eastAsia="zh-CN"/>
              </w:rPr>
              <w:t>采购部的主要职责：</w:t>
            </w:r>
            <w:r>
              <w:rPr>
                <w:rFonts w:hint="eastAsia"/>
              </w:rPr>
              <w:t>a)</w:t>
            </w:r>
            <w:r>
              <w:rPr>
                <w:rFonts w:hint="eastAsia"/>
                <w:lang w:val="zh-CN"/>
              </w:rPr>
              <w:t>负责</w:t>
            </w:r>
            <w:r>
              <w:rPr>
                <w:rFonts w:hint="eastAsia"/>
              </w:rPr>
              <w:t>公司能源采购、设备采购、产品采购及外包服务采购的管理</w:t>
            </w:r>
            <w:r>
              <w:rPr>
                <w:rFonts w:hint="eastAsia"/>
                <w:lang w:val="zh-CN"/>
              </w:rPr>
              <w:t>；</w:t>
            </w:r>
          </w:p>
          <w:p>
            <w:pPr>
              <w:autoSpaceDE w:val="0"/>
              <w:autoSpaceDN w:val="0"/>
              <w:adjustRightInd w:val="0"/>
            </w:pPr>
            <w:r>
              <w:rPr>
                <w:rFonts w:hint="eastAsia"/>
              </w:rPr>
              <w:t>b)</w:t>
            </w:r>
            <w:r>
              <w:rPr>
                <w:rFonts w:hint="eastAsia"/>
                <w:lang w:val="zh-CN"/>
              </w:rPr>
              <w:t>负责</w:t>
            </w:r>
            <w:r>
              <w:rPr>
                <w:rFonts w:hint="eastAsia"/>
              </w:rPr>
              <w:t>供应商的管理，包括供应商的评价及资质的收集工作。</w:t>
            </w:r>
          </w:p>
          <w:p>
            <w:pPr>
              <w:rPr>
                <w:rFonts w:hint="eastAsia"/>
              </w:rPr>
            </w:pPr>
            <w:r>
              <w:rPr>
                <w:rFonts w:hint="eastAsia"/>
              </w:rPr>
              <w:t>c</w:t>
            </w:r>
            <w:r>
              <w:t>)</w:t>
            </w:r>
            <w:r>
              <w:rPr>
                <w:rFonts w:hint="eastAsia"/>
              </w:rPr>
              <w:t xml:space="preserve"> 制定并完善采购制度和采购流程；制度并实施采购计划；根据实际需求、预算控制采购成本；选择并管理供应商。</w:t>
            </w:r>
          </w:p>
          <w:p>
            <w:pPr>
              <w:pStyle w:val="22"/>
              <w:rPr>
                <w:rFonts w:hint="default"/>
                <w:lang w:val="en-US" w:eastAsia="zh-CN"/>
              </w:rPr>
            </w:pPr>
            <w:r>
              <w:rPr>
                <w:rFonts w:hint="eastAsia" w:ascii="宋体" w:hAnsi="宋体" w:eastAsia="宋体" w:cs="宋体"/>
                <w:sz w:val="21"/>
                <w:szCs w:val="21"/>
                <w:lang w:val="en-US" w:eastAsia="zh-CN"/>
              </w:rPr>
              <w:t>经与受审核方采购部负责人陈经理沟通，职责权限清楚，经查符合要求。</w:t>
            </w:r>
          </w:p>
        </w:tc>
        <w:tc>
          <w:tcPr>
            <w:tcW w:w="851" w:type="dxa"/>
          </w:tcPr>
          <w:p>
            <w:pPr>
              <w:rPr>
                <w:rFonts w:hint="eastAsia" w:eastAsia="宋体"/>
                <w:sz w:val="21"/>
                <w:szCs w:val="21"/>
                <w:lang w:val="en-US" w:eastAsia="zh-CN"/>
              </w:rPr>
            </w:pPr>
          </w:p>
          <w:p>
            <w:pPr>
              <w:pStyle w:val="16"/>
              <w:rPr>
                <w:rFonts w:hint="eastAsia" w:eastAsia="宋体"/>
                <w:sz w:val="21"/>
                <w:szCs w:val="21"/>
                <w:lang w:val="en-US" w:eastAsia="zh-CN"/>
              </w:rPr>
            </w:pPr>
          </w:p>
          <w:p>
            <w:pPr>
              <w:rPr>
                <w:rFonts w:hint="eastAsia" w:eastAsia="宋体"/>
                <w:sz w:val="21"/>
                <w:szCs w:val="21"/>
                <w:lang w:val="en-US" w:eastAsia="zh-CN"/>
              </w:rPr>
            </w:pPr>
            <w:r>
              <w:rPr>
                <w:rFonts w:hint="eastAsia" w:eastAsia="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60" w:type="dxa"/>
          </w:tcPr>
          <w:p>
            <w:pPr>
              <w:rPr>
                <w:rFonts w:hint="eastAsia" w:eastAsia="宋体"/>
                <w:sz w:val="21"/>
                <w:szCs w:val="21"/>
                <w:lang w:val="en-US" w:eastAsia="zh-CN"/>
              </w:rPr>
            </w:pPr>
            <w:r>
              <w:rPr>
                <w:rFonts w:hint="eastAsia" w:eastAsia="宋体"/>
                <w:sz w:val="21"/>
                <w:szCs w:val="21"/>
                <w:lang w:val="en-US" w:eastAsia="zh-CN"/>
              </w:rPr>
              <w:t>2.目标、能源指及其实现的策划</w:t>
            </w:r>
          </w:p>
        </w:tc>
        <w:tc>
          <w:tcPr>
            <w:tcW w:w="960" w:type="dxa"/>
          </w:tcPr>
          <w:p>
            <w:pPr>
              <w:rPr>
                <w:rFonts w:hint="default" w:eastAsia="宋体"/>
                <w:sz w:val="21"/>
                <w:szCs w:val="21"/>
                <w:lang w:val="en-US" w:eastAsia="zh-CN"/>
              </w:rPr>
            </w:pPr>
            <w:r>
              <w:rPr>
                <w:rFonts w:hint="eastAsia" w:eastAsia="宋体"/>
                <w:sz w:val="21"/>
                <w:szCs w:val="21"/>
                <w:lang w:val="en-US" w:eastAsia="zh-CN"/>
              </w:rPr>
              <w:t>6.2</w:t>
            </w:r>
          </w:p>
        </w:tc>
        <w:tc>
          <w:tcPr>
            <w:tcW w:w="10738" w:type="dxa"/>
          </w:tcPr>
          <w:p>
            <w:pPr>
              <w:rPr>
                <w:rFonts w:hint="default" w:eastAsia="宋体"/>
                <w:sz w:val="21"/>
                <w:szCs w:val="21"/>
                <w:lang w:val="en-US" w:eastAsia="zh-CN"/>
              </w:rPr>
            </w:pPr>
            <w:r>
              <w:rPr>
                <w:rFonts w:hint="eastAsia"/>
                <w:sz w:val="21"/>
                <w:szCs w:val="21"/>
                <w:lang w:val="en-US" w:eastAsia="zh-CN"/>
              </w:rPr>
              <w:t>采购部没有</w:t>
            </w:r>
            <w:r>
              <w:rPr>
                <w:rFonts w:hint="eastAsia" w:eastAsia="宋体"/>
                <w:sz w:val="21"/>
                <w:szCs w:val="21"/>
                <w:lang w:val="en-US" w:eastAsia="zh-CN"/>
              </w:rPr>
              <w:t>制定</w:t>
            </w:r>
            <w:r>
              <w:rPr>
                <w:rFonts w:hint="eastAsia"/>
                <w:sz w:val="21"/>
                <w:szCs w:val="21"/>
                <w:lang w:val="en-US" w:eastAsia="zh-CN"/>
              </w:rPr>
              <w:t>该</w:t>
            </w:r>
            <w:r>
              <w:rPr>
                <w:rFonts w:hint="eastAsia" w:eastAsia="宋体"/>
                <w:sz w:val="21"/>
                <w:szCs w:val="21"/>
                <w:lang w:val="en-US" w:eastAsia="zh-CN"/>
              </w:rPr>
              <w:t>部门的能源目标，执行公司的能源目标。</w:t>
            </w:r>
          </w:p>
        </w:tc>
        <w:tc>
          <w:tcPr>
            <w:tcW w:w="851" w:type="dxa"/>
          </w:tcPr>
          <w:p>
            <w:pPr>
              <w:rPr>
                <w:rFonts w:hint="eastAsia" w:eastAsia="宋体"/>
                <w:sz w:val="21"/>
                <w:szCs w:val="21"/>
                <w:lang w:val="en-US" w:eastAsia="zh-CN"/>
              </w:rPr>
            </w:pPr>
            <w:r>
              <w:rPr>
                <w:rFonts w:hint="eastAsia" w:eastAsia="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tcPr>
          <w:p>
            <w:pPr>
              <w:rPr>
                <w:rFonts w:hint="eastAsia" w:eastAsia="宋体"/>
                <w:sz w:val="21"/>
                <w:szCs w:val="21"/>
                <w:lang w:val="en-US" w:eastAsia="zh-CN"/>
              </w:rPr>
            </w:pPr>
            <w:r>
              <w:rPr>
                <w:rFonts w:hint="eastAsia" w:eastAsia="宋体"/>
                <w:sz w:val="21"/>
                <w:szCs w:val="21"/>
                <w:lang w:val="en-US" w:eastAsia="zh-CN"/>
              </w:rPr>
              <w:t>3.运行的策划和控制；</w:t>
            </w:r>
          </w:p>
          <w:p>
            <w:pPr>
              <w:rPr>
                <w:rFonts w:hint="eastAsia" w:eastAsia="宋体"/>
                <w:sz w:val="21"/>
                <w:szCs w:val="21"/>
                <w:lang w:val="en-US" w:eastAsia="zh-CN"/>
              </w:rPr>
            </w:pPr>
            <w:r>
              <w:rPr>
                <w:rFonts w:hint="eastAsia" w:eastAsia="宋体"/>
                <w:sz w:val="21"/>
                <w:szCs w:val="21"/>
                <w:lang w:val="en-US" w:eastAsia="zh-CN"/>
              </w:rPr>
              <w:t>4.采购</w:t>
            </w:r>
          </w:p>
          <w:p>
            <w:pPr>
              <w:rPr>
                <w:rFonts w:hint="default" w:eastAsia="宋体"/>
                <w:sz w:val="21"/>
                <w:szCs w:val="21"/>
                <w:lang w:val="en-US" w:eastAsia="zh-CN"/>
              </w:rPr>
            </w:pPr>
          </w:p>
        </w:tc>
        <w:tc>
          <w:tcPr>
            <w:tcW w:w="960" w:type="dxa"/>
          </w:tcPr>
          <w:p>
            <w:pPr>
              <w:rPr>
                <w:rFonts w:hint="eastAsia" w:eastAsia="宋体"/>
                <w:sz w:val="21"/>
                <w:szCs w:val="21"/>
                <w:lang w:val="en-US" w:eastAsia="zh-CN"/>
              </w:rPr>
            </w:pPr>
            <w:r>
              <w:rPr>
                <w:rFonts w:hint="eastAsia" w:eastAsia="宋体"/>
                <w:sz w:val="21"/>
                <w:szCs w:val="21"/>
                <w:lang w:val="en-US" w:eastAsia="zh-CN"/>
              </w:rPr>
              <w:t>8.1/8.3</w:t>
            </w:r>
          </w:p>
          <w:p>
            <w:pPr>
              <w:rPr>
                <w:rFonts w:hint="default" w:eastAsia="宋体"/>
                <w:sz w:val="21"/>
                <w:szCs w:val="21"/>
                <w:lang w:val="en-US" w:eastAsia="zh-CN"/>
              </w:rPr>
            </w:pPr>
          </w:p>
        </w:tc>
        <w:tc>
          <w:tcPr>
            <w:tcW w:w="10738" w:type="dxa"/>
          </w:tcPr>
          <w:p>
            <w:pPr>
              <w:rPr>
                <w:rFonts w:hint="default" w:eastAsia="宋体"/>
                <w:sz w:val="21"/>
                <w:szCs w:val="21"/>
                <w:lang w:val="en-US" w:eastAsia="zh-CN"/>
              </w:rPr>
            </w:pPr>
            <w:r>
              <w:rPr>
                <w:rFonts w:hint="eastAsia" w:eastAsia="宋体"/>
                <w:sz w:val="21"/>
                <w:szCs w:val="21"/>
                <w:lang w:val="en-US" w:eastAsia="zh-CN"/>
              </w:rPr>
              <w:t>1、提供文件化信息：《能源管理手册》《</w:t>
            </w:r>
            <w:r>
              <w:rPr>
                <w:sz w:val="21"/>
                <w:szCs w:val="21"/>
              </w:rPr>
              <w:t>能源运行控制程序</w:t>
            </w:r>
            <w:r>
              <w:rPr>
                <w:rFonts w:hint="eastAsia" w:eastAsia="宋体"/>
                <w:sz w:val="21"/>
                <w:szCs w:val="21"/>
                <w:lang w:val="en-US" w:eastAsia="zh-CN"/>
              </w:rPr>
              <w:t>》《采购控制程序》等，有发布，实施。有编审批。确保了其适宜性和充分性。</w:t>
            </w:r>
          </w:p>
          <w:p>
            <w:pPr>
              <w:rPr>
                <w:rFonts w:hint="default" w:eastAsia="宋体"/>
                <w:sz w:val="21"/>
                <w:szCs w:val="21"/>
                <w:lang w:val="en-US" w:eastAsia="zh-CN"/>
              </w:rPr>
            </w:pPr>
            <w:r>
              <w:rPr>
                <w:rFonts w:hint="eastAsia" w:eastAsia="宋体"/>
                <w:sz w:val="21"/>
                <w:szCs w:val="21"/>
                <w:lang w:val="en-US" w:eastAsia="zh-CN"/>
              </w:rPr>
              <w:t>2、关于能源服务、产品和设备的采购，公司规定</w:t>
            </w:r>
          </w:p>
          <w:p>
            <w:pPr>
              <w:rPr>
                <w:rFonts w:hint="eastAsia" w:eastAsia="宋体"/>
                <w:sz w:val="21"/>
                <w:szCs w:val="21"/>
                <w:lang w:val="en-US" w:eastAsia="zh-CN"/>
              </w:rPr>
            </w:pPr>
            <w:r>
              <w:rPr>
                <w:rFonts w:hint="eastAsia" w:eastAsia="宋体"/>
                <w:sz w:val="21"/>
                <w:szCs w:val="21"/>
                <w:lang w:val="en-US" w:eastAsia="zh-CN"/>
              </w:rPr>
              <w:t xml:space="preserve">a）在采购对主要能源使用具有影响的能源服务、产品和设备时，采购文件和合同中应明确能源绩效要求。 </w:t>
            </w:r>
          </w:p>
          <w:p>
            <w:pPr>
              <w:rPr>
                <w:rFonts w:hint="eastAsia" w:eastAsia="宋体"/>
                <w:sz w:val="21"/>
                <w:szCs w:val="21"/>
                <w:lang w:val="en-US" w:eastAsia="zh-CN"/>
              </w:rPr>
            </w:pPr>
            <w:r>
              <w:rPr>
                <w:rFonts w:hint="eastAsia" w:eastAsia="宋体"/>
                <w:sz w:val="21"/>
                <w:szCs w:val="21"/>
                <w:lang w:val="en-US" w:eastAsia="zh-CN"/>
              </w:rPr>
              <w:t xml:space="preserve">b）在能源服务采购时，应考虑： </w:t>
            </w:r>
          </w:p>
          <w:p>
            <w:pPr>
              <w:rPr>
                <w:rFonts w:hint="eastAsia" w:eastAsia="宋体"/>
                <w:sz w:val="21"/>
                <w:szCs w:val="21"/>
                <w:lang w:val="en-US" w:eastAsia="zh-CN"/>
              </w:rPr>
            </w:pPr>
            <w:r>
              <w:rPr>
                <w:rFonts w:hint="eastAsia" w:eastAsia="宋体"/>
                <w:sz w:val="21"/>
                <w:szCs w:val="21"/>
                <w:lang w:val="en-US" w:eastAsia="zh-CN"/>
              </w:rPr>
              <w:t xml:space="preserve">--用能设备操作人员的能力水平； </w:t>
            </w:r>
          </w:p>
          <w:p>
            <w:pPr>
              <w:rPr>
                <w:rFonts w:hint="eastAsia" w:eastAsia="宋体"/>
                <w:sz w:val="21"/>
                <w:szCs w:val="21"/>
                <w:lang w:val="en-US" w:eastAsia="zh-CN"/>
              </w:rPr>
            </w:pPr>
            <w:r>
              <w:rPr>
                <w:rFonts w:hint="eastAsia" w:eastAsia="宋体"/>
                <w:sz w:val="21"/>
                <w:szCs w:val="21"/>
                <w:lang w:val="en-US" w:eastAsia="zh-CN"/>
              </w:rPr>
              <w:t xml:space="preserve">--供应商自身的资质、信誉、技术实力、经验等； </w:t>
            </w:r>
          </w:p>
          <w:p>
            <w:pPr>
              <w:rPr>
                <w:rFonts w:hint="eastAsia" w:eastAsia="宋体"/>
                <w:sz w:val="21"/>
                <w:szCs w:val="21"/>
                <w:lang w:val="en-US" w:eastAsia="zh-CN"/>
              </w:rPr>
            </w:pPr>
            <w:r>
              <w:rPr>
                <w:rFonts w:hint="eastAsia" w:eastAsia="宋体"/>
                <w:sz w:val="21"/>
                <w:szCs w:val="21"/>
                <w:lang w:val="en-US" w:eastAsia="zh-CN"/>
              </w:rPr>
              <w:t xml:space="preserve">--能源绩效的评价方法和预期效果。 </w:t>
            </w:r>
          </w:p>
          <w:p>
            <w:pPr>
              <w:rPr>
                <w:rFonts w:hint="eastAsia" w:eastAsia="宋体"/>
                <w:sz w:val="21"/>
                <w:szCs w:val="21"/>
                <w:lang w:val="en-US" w:eastAsia="zh-CN"/>
              </w:rPr>
            </w:pPr>
            <w:r>
              <w:rPr>
                <w:rFonts w:hint="eastAsia" w:eastAsia="宋体"/>
                <w:sz w:val="21"/>
                <w:szCs w:val="21"/>
                <w:lang w:val="en-US" w:eastAsia="zh-CN"/>
              </w:rPr>
              <w:t xml:space="preserve">c）在产品和设备采购时，应考虑： </w:t>
            </w:r>
          </w:p>
          <w:p>
            <w:pPr>
              <w:rPr>
                <w:rFonts w:hint="eastAsia" w:eastAsia="宋体"/>
                <w:sz w:val="21"/>
                <w:szCs w:val="21"/>
                <w:lang w:val="en-US" w:eastAsia="zh-CN"/>
              </w:rPr>
            </w:pPr>
            <w:r>
              <w:rPr>
                <w:rFonts w:hint="eastAsia" w:eastAsia="宋体"/>
                <w:sz w:val="21"/>
                <w:szCs w:val="21"/>
                <w:lang w:val="en-US" w:eastAsia="zh-CN"/>
              </w:rPr>
              <w:t xml:space="preserve">--产品和设备的能效水平； </w:t>
            </w:r>
          </w:p>
          <w:p>
            <w:pPr>
              <w:rPr>
                <w:rFonts w:hint="eastAsia" w:eastAsia="宋体"/>
                <w:sz w:val="21"/>
                <w:szCs w:val="21"/>
                <w:lang w:val="en-US" w:eastAsia="zh-CN"/>
              </w:rPr>
            </w:pPr>
            <w:r>
              <w:rPr>
                <w:rFonts w:hint="eastAsia" w:eastAsia="宋体"/>
                <w:sz w:val="21"/>
                <w:szCs w:val="21"/>
                <w:lang w:val="en-US" w:eastAsia="zh-CN"/>
              </w:rPr>
              <w:t xml:space="preserve">--与整个用能系统的匹配程度； </w:t>
            </w:r>
          </w:p>
          <w:p>
            <w:pPr>
              <w:rPr>
                <w:rFonts w:hint="eastAsia" w:eastAsia="宋体"/>
                <w:sz w:val="21"/>
                <w:szCs w:val="21"/>
                <w:lang w:val="en-US" w:eastAsia="zh-CN"/>
              </w:rPr>
            </w:pPr>
            <w:r>
              <w:rPr>
                <w:rFonts w:hint="eastAsia" w:eastAsia="宋体"/>
                <w:sz w:val="21"/>
                <w:szCs w:val="21"/>
                <w:lang w:val="en-US" w:eastAsia="zh-CN"/>
              </w:rPr>
              <w:t xml:space="preserve">--运行经济性、稳定性和可靠性； </w:t>
            </w:r>
          </w:p>
          <w:p>
            <w:pPr>
              <w:rPr>
                <w:rFonts w:hint="eastAsia" w:eastAsia="宋体"/>
                <w:sz w:val="21"/>
                <w:szCs w:val="21"/>
                <w:lang w:val="en-US" w:eastAsia="zh-CN"/>
              </w:rPr>
            </w:pPr>
            <w:r>
              <w:rPr>
                <w:rFonts w:hint="eastAsia" w:eastAsia="宋体"/>
                <w:sz w:val="21"/>
                <w:szCs w:val="21"/>
                <w:lang w:val="en-US" w:eastAsia="zh-CN"/>
              </w:rPr>
              <w:t xml:space="preserve">--供应商自身的资质、信誉、技术实力、经验； </w:t>
            </w:r>
          </w:p>
          <w:p>
            <w:pPr>
              <w:rPr>
                <w:rFonts w:hint="eastAsia" w:eastAsia="宋体"/>
                <w:sz w:val="21"/>
                <w:szCs w:val="21"/>
                <w:lang w:val="en-US" w:eastAsia="zh-CN"/>
              </w:rPr>
            </w:pPr>
            <w:r>
              <w:rPr>
                <w:rFonts w:hint="eastAsia" w:eastAsia="宋体"/>
                <w:sz w:val="21"/>
                <w:szCs w:val="21"/>
                <w:lang w:val="en-US" w:eastAsia="zh-CN"/>
              </w:rPr>
              <w:t xml:space="preserve">--售后服务和技术支持能力； </w:t>
            </w:r>
          </w:p>
          <w:p>
            <w:pPr>
              <w:rPr>
                <w:rFonts w:hint="eastAsia" w:eastAsia="宋体"/>
                <w:sz w:val="21"/>
                <w:szCs w:val="21"/>
                <w:lang w:val="en-US" w:eastAsia="zh-CN"/>
              </w:rPr>
            </w:pPr>
            <w:r>
              <w:rPr>
                <w:rFonts w:hint="eastAsia" w:eastAsia="宋体"/>
                <w:sz w:val="21"/>
                <w:szCs w:val="21"/>
                <w:lang w:val="en-US" w:eastAsia="zh-CN"/>
              </w:rPr>
              <w:t>--预期使用寿命内对能源使用、能源消耗和能源效率的影响；</w:t>
            </w:r>
          </w:p>
          <w:p>
            <w:pPr>
              <w:rPr>
                <w:rFonts w:hint="eastAsia" w:eastAsia="宋体"/>
                <w:sz w:val="21"/>
                <w:szCs w:val="21"/>
                <w:lang w:val="en-US" w:eastAsia="zh-CN"/>
              </w:rPr>
            </w:pPr>
            <w:r>
              <w:rPr>
                <w:rFonts w:hint="eastAsia" w:eastAsia="宋体"/>
                <w:sz w:val="21"/>
                <w:szCs w:val="21"/>
                <w:lang w:val="en-US" w:eastAsia="zh-CN"/>
              </w:rPr>
              <w:t>d）公司应禁止采购《淘汰落后生产能力、工艺和产品的目录》、《高耗能落后机电设备（产品）淘汰目录》和《产业结构指导目录》规定的淘汰产品和设备，对现有产品、设备进行更换时，应尽量采用高效的节能产品，或者采用国家鼓励的节能产品和设备。</w:t>
            </w:r>
          </w:p>
          <w:p>
            <w:pPr>
              <w:rPr>
                <w:rFonts w:hint="eastAsia"/>
                <w:sz w:val="21"/>
                <w:szCs w:val="21"/>
                <w:highlight w:val="none"/>
                <w:lang w:val="en-US" w:eastAsia="zh-CN"/>
              </w:rPr>
            </w:pPr>
            <w:r>
              <w:rPr>
                <w:rFonts w:hint="eastAsia" w:eastAsia="宋体"/>
                <w:sz w:val="21"/>
                <w:szCs w:val="21"/>
                <w:highlight w:val="none"/>
                <w:lang w:val="en-US" w:eastAsia="zh-CN"/>
              </w:rPr>
              <w:t>受审核方的供电由</w:t>
            </w:r>
            <w:r>
              <w:rPr>
                <w:rFonts w:hint="eastAsia" w:ascii="宋体" w:hAnsi="宋体"/>
                <w:sz w:val="21"/>
                <w:szCs w:val="21"/>
                <w:lang w:eastAsia="zh-CN"/>
              </w:rPr>
              <w:t>国网河南省电力公司沁阳市供电公司</w:t>
            </w:r>
            <w:r>
              <w:rPr>
                <w:rFonts w:hint="eastAsia" w:eastAsia="宋体"/>
                <w:sz w:val="21"/>
                <w:szCs w:val="21"/>
                <w:highlight w:val="none"/>
                <w:lang w:val="en-US" w:eastAsia="zh-CN"/>
              </w:rPr>
              <w:t>直接供应，没有签订购买合同。提供2021年-2024年</w:t>
            </w:r>
            <w:r>
              <w:rPr>
                <w:rFonts w:hint="eastAsia"/>
                <w:color w:val="auto"/>
                <w:sz w:val="21"/>
                <w:szCs w:val="21"/>
                <w:highlight w:val="none"/>
                <w:lang w:val="en-US" w:eastAsia="zh-CN"/>
              </w:rPr>
              <w:t>有效的燃气</w:t>
            </w:r>
            <w:r>
              <w:rPr>
                <w:rFonts w:hint="eastAsia" w:eastAsia="宋体"/>
                <w:color w:val="auto"/>
                <w:sz w:val="21"/>
                <w:szCs w:val="21"/>
                <w:highlight w:val="none"/>
                <w:lang w:val="en-US" w:eastAsia="zh-CN"/>
              </w:rPr>
              <w:t>的合同</w:t>
            </w:r>
            <w:r>
              <w:rPr>
                <w:rFonts w:hint="eastAsia"/>
                <w:sz w:val="21"/>
                <w:szCs w:val="21"/>
                <w:highlight w:val="none"/>
                <w:lang w:val="en-US" w:eastAsia="zh-CN"/>
              </w:rPr>
              <w:t>，见下图，经查符合要求。</w:t>
            </w:r>
          </w:p>
          <w:p>
            <w:pPr>
              <w:pStyle w:val="22"/>
              <w:rPr>
                <w:rFonts w:hint="default"/>
                <w:sz w:val="21"/>
                <w:szCs w:val="21"/>
                <w:highlight w:val="none"/>
                <w:lang w:val="en-US" w:eastAsia="zh-CN"/>
              </w:rPr>
            </w:pPr>
            <w:r>
              <w:rPr>
                <w:rFonts w:hint="eastAsia"/>
                <w:sz w:val="21"/>
                <w:szCs w:val="21"/>
                <w:highlight w:val="none"/>
                <w:lang w:val="en-US" w:eastAsia="zh-CN"/>
              </w:rPr>
              <w:drawing>
                <wp:inline distT="0" distB="0" distL="114300" distR="114300">
                  <wp:extent cx="1988820" cy="1610360"/>
                  <wp:effectExtent l="0" t="0" r="5080" b="2540"/>
                  <wp:docPr id="18" name="图片 18" descr="扫描全能王 2022-09-15 14.2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扫描全能王 2022-09-15 14.29_1"/>
                          <pic:cNvPicPr>
                            <a:picLocks noChangeAspect="1"/>
                          </pic:cNvPicPr>
                        </pic:nvPicPr>
                        <pic:blipFill>
                          <a:blip r:embed="rId6"/>
                          <a:stretch>
                            <a:fillRect/>
                          </a:stretch>
                        </pic:blipFill>
                        <pic:spPr>
                          <a:xfrm>
                            <a:off x="0" y="0"/>
                            <a:ext cx="1988820" cy="1610360"/>
                          </a:xfrm>
                          <a:prstGeom prst="rect">
                            <a:avLst/>
                          </a:prstGeom>
                        </pic:spPr>
                      </pic:pic>
                    </a:graphicData>
                  </a:graphic>
                </wp:inline>
              </w:drawing>
            </w:r>
            <w:r>
              <w:rPr>
                <w:rFonts w:hint="eastAsia"/>
                <w:sz w:val="21"/>
                <w:szCs w:val="21"/>
                <w:highlight w:val="none"/>
                <w:lang w:val="en-US" w:eastAsia="zh-CN"/>
              </w:rPr>
              <w:t xml:space="preserve"> </w:t>
            </w:r>
            <w:r>
              <w:rPr>
                <w:rFonts w:hint="default"/>
                <w:sz w:val="21"/>
                <w:szCs w:val="21"/>
                <w:highlight w:val="none"/>
                <w:lang w:val="en-US" w:eastAsia="zh-CN"/>
              </w:rPr>
              <w:drawing>
                <wp:inline distT="0" distB="0" distL="114300" distR="114300">
                  <wp:extent cx="2030730" cy="1816735"/>
                  <wp:effectExtent l="0" t="0" r="1270" b="12065"/>
                  <wp:docPr id="19" name="图片 19" descr="扫描全能王 2022-09-15 14.2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扫描全能王 2022-09-15 14.29_2"/>
                          <pic:cNvPicPr>
                            <a:picLocks noChangeAspect="1"/>
                          </pic:cNvPicPr>
                        </pic:nvPicPr>
                        <pic:blipFill>
                          <a:blip r:embed="rId7"/>
                          <a:stretch>
                            <a:fillRect/>
                          </a:stretch>
                        </pic:blipFill>
                        <pic:spPr>
                          <a:xfrm>
                            <a:off x="0" y="0"/>
                            <a:ext cx="2030730" cy="1816735"/>
                          </a:xfrm>
                          <a:prstGeom prst="rect">
                            <a:avLst/>
                          </a:prstGeom>
                        </pic:spPr>
                      </pic:pic>
                    </a:graphicData>
                  </a:graphic>
                </wp:inline>
              </w:drawing>
            </w:r>
            <w:r>
              <w:rPr>
                <w:rFonts w:hint="eastAsia"/>
                <w:sz w:val="21"/>
                <w:szCs w:val="21"/>
                <w:highlight w:val="none"/>
                <w:lang w:val="en-US" w:eastAsia="zh-CN"/>
              </w:rPr>
              <w:t xml:space="preserve"> </w:t>
            </w:r>
            <w:r>
              <w:rPr>
                <w:rFonts w:hint="default"/>
                <w:sz w:val="21"/>
                <w:szCs w:val="21"/>
                <w:highlight w:val="none"/>
                <w:lang w:val="en-US" w:eastAsia="zh-CN"/>
              </w:rPr>
              <w:drawing>
                <wp:inline distT="0" distB="0" distL="114300" distR="114300">
                  <wp:extent cx="2047240" cy="1911350"/>
                  <wp:effectExtent l="0" t="0" r="10160" b="6350"/>
                  <wp:docPr id="20" name="图片 20" descr="扫描全能王 2022-09-15 14.2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扫描全能王 2022-09-15 14.29_3"/>
                          <pic:cNvPicPr>
                            <a:picLocks noChangeAspect="1"/>
                          </pic:cNvPicPr>
                        </pic:nvPicPr>
                        <pic:blipFill>
                          <a:blip r:embed="rId8"/>
                          <a:stretch>
                            <a:fillRect/>
                          </a:stretch>
                        </pic:blipFill>
                        <pic:spPr>
                          <a:xfrm>
                            <a:off x="0" y="0"/>
                            <a:ext cx="2047240" cy="1911350"/>
                          </a:xfrm>
                          <a:prstGeom prst="rect">
                            <a:avLst/>
                          </a:prstGeom>
                        </pic:spPr>
                      </pic:pic>
                    </a:graphicData>
                  </a:graphic>
                </wp:inline>
              </w:drawing>
            </w:r>
          </w:p>
          <w:p>
            <w:pPr>
              <w:rPr>
                <w:rFonts w:hint="eastAsia" w:eastAsia="宋体"/>
                <w:sz w:val="21"/>
                <w:szCs w:val="21"/>
                <w:lang w:val="en-US" w:eastAsia="zh-CN"/>
              </w:rPr>
            </w:pPr>
            <w:r>
              <w:rPr>
                <w:rFonts w:hint="eastAsia" w:eastAsia="宋体"/>
                <w:sz w:val="21"/>
                <w:szCs w:val="21"/>
                <w:highlight w:val="none"/>
                <w:lang w:val="en-US" w:eastAsia="zh-CN"/>
              </w:rPr>
              <w:t>公司没有采购设备计划，设备和配件由生产等相关部门提出采购需要，由采购部负责采购。公司</w:t>
            </w:r>
            <w:r>
              <w:rPr>
                <w:rFonts w:hint="eastAsia"/>
                <w:sz w:val="21"/>
                <w:szCs w:val="21"/>
                <w:highlight w:val="none"/>
                <w:lang w:val="en-US" w:eastAsia="zh-CN"/>
              </w:rPr>
              <w:t>2022年1-8月份</w:t>
            </w:r>
            <w:r>
              <w:rPr>
                <w:rFonts w:hint="eastAsia" w:eastAsia="宋体"/>
                <w:sz w:val="21"/>
                <w:szCs w:val="21"/>
                <w:highlight w:val="none"/>
                <w:lang w:val="en-US" w:eastAsia="zh-CN"/>
              </w:rPr>
              <w:t>采购设备、配件等，</w:t>
            </w:r>
            <w:r>
              <w:rPr>
                <w:rFonts w:hint="eastAsia"/>
                <w:sz w:val="21"/>
                <w:szCs w:val="21"/>
                <w:highlight w:val="none"/>
                <w:lang w:val="en-US" w:eastAsia="zh-CN"/>
              </w:rPr>
              <w:t>提供购买合同，抽查购销合同，见附件，经查符合要求</w:t>
            </w:r>
            <w:r>
              <w:rPr>
                <w:rFonts w:hint="eastAsia" w:eastAsia="宋体"/>
                <w:sz w:val="21"/>
                <w:szCs w:val="21"/>
                <w:highlight w:val="none"/>
                <w:lang w:val="en-US" w:eastAsia="zh-CN"/>
              </w:rPr>
              <w:t>。</w:t>
            </w:r>
            <w:r>
              <w:rPr>
                <w:rFonts w:hint="eastAsia" w:eastAsia="宋体"/>
                <w:sz w:val="21"/>
                <w:szCs w:val="21"/>
                <w:lang w:val="en-US" w:eastAsia="zh-CN"/>
              </w:rPr>
              <w:t xml:space="preserve"> </w:t>
            </w:r>
          </w:p>
          <w:p>
            <w:pPr>
              <w:pStyle w:val="22"/>
              <w:rPr>
                <w:rFonts w:hint="default"/>
                <w:lang w:val="en-US" w:eastAsia="zh-CN"/>
              </w:rPr>
            </w:pPr>
            <w:r>
              <w:rPr>
                <w:rFonts w:hint="eastAsia"/>
                <w:lang w:val="en-US" w:eastAsia="zh-CN"/>
              </w:rPr>
              <w:drawing>
                <wp:inline distT="0" distB="0" distL="114300" distR="114300">
                  <wp:extent cx="1880870" cy="1534795"/>
                  <wp:effectExtent l="0" t="0" r="11430" b="1905"/>
                  <wp:docPr id="21" name="图片 21" descr="扫描全能王 2022-09-15 14.4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扫描全能王 2022-09-15 14.45_1"/>
                          <pic:cNvPicPr>
                            <a:picLocks noChangeAspect="1"/>
                          </pic:cNvPicPr>
                        </pic:nvPicPr>
                        <pic:blipFill>
                          <a:blip r:embed="rId9"/>
                          <a:stretch>
                            <a:fillRect/>
                          </a:stretch>
                        </pic:blipFill>
                        <pic:spPr>
                          <a:xfrm>
                            <a:off x="0" y="0"/>
                            <a:ext cx="1880870" cy="153479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962150" cy="1544955"/>
                  <wp:effectExtent l="0" t="0" r="6350" b="4445"/>
                  <wp:docPr id="22" name="图片 22" descr="扫描全能王 2022-09-15 14.4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扫描全能王 2022-09-15 14.45_2"/>
                          <pic:cNvPicPr>
                            <a:picLocks noChangeAspect="1"/>
                          </pic:cNvPicPr>
                        </pic:nvPicPr>
                        <pic:blipFill>
                          <a:blip r:embed="rId10"/>
                          <a:stretch>
                            <a:fillRect/>
                          </a:stretch>
                        </pic:blipFill>
                        <pic:spPr>
                          <a:xfrm>
                            <a:off x="0" y="0"/>
                            <a:ext cx="1962150" cy="1544955"/>
                          </a:xfrm>
                          <a:prstGeom prst="rect">
                            <a:avLst/>
                          </a:prstGeom>
                        </pic:spPr>
                      </pic:pic>
                    </a:graphicData>
                  </a:graphic>
                </wp:inline>
              </w:drawing>
            </w:r>
          </w:p>
          <w:p>
            <w:pPr>
              <w:rPr>
                <w:rFonts w:hint="default" w:eastAsia="宋体"/>
                <w:sz w:val="21"/>
                <w:szCs w:val="21"/>
                <w:lang w:val="en-US" w:eastAsia="zh-CN"/>
              </w:rPr>
            </w:pPr>
            <w:r>
              <w:rPr>
                <w:rFonts w:hint="eastAsia" w:eastAsia="宋体"/>
                <w:sz w:val="21"/>
                <w:szCs w:val="21"/>
                <w:lang w:val="en-US" w:eastAsia="zh-CN"/>
              </w:rPr>
              <w:t>5、</w:t>
            </w:r>
            <w:r>
              <w:rPr>
                <w:rFonts w:hint="eastAsia"/>
                <w:sz w:val="21"/>
                <w:szCs w:val="21"/>
                <w:lang w:val="en-US" w:eastAsia="zh-CN"/>
              </w:rPr>
              <w:t>该</w:t>
            </w:r>
            <w:r>
              <w:rPr>
                <w:rFonts w:hint="default" w:eastAsia="宋体"/>
                <w:sz w:val="21"/>
                <w:szCs w:val="21"/>
                <w:lang w:val="en-US" w:eastAsia="zh-CN"/>
              </w:rPr>
              <w:t>部门要求员工照明灯不用时及时将电源关闭， 电脑不使用时及时将电源关闭，电脑设置休眠功能， 夏天空调设置26度以上。</w:t>
            </w:r>
          </w:p>
          <w:p>
            <w:pPr>
              <w:rPr>
                <w:rFonts w:hint="default" w:eastAsia="宋体"/>
                <w:sz w:val="21"/>
                <w:szCs w:val="21"/>
                <w:lang w:val="en-US" w:eastAsia="zh-CN"/>
              </w:rPr>
            </w:pPr>
            <w:r>
              <w:rPr>
                <w:rFonts w:hint="eastAsia" w:eastAsia="宋体"/>
                <w:sz w:val="21"/>
                <w:szCs w:val="21"/>
                <w:lang w:val="en-US" w:eastAsia="zh-CN"/>
              </w:rPr>
              <w:t>6、</w:t>
            </w:r>
            <w:r>
              <w:rPr>
                <w:rFonts w:hint="default" w:eastAsia="宋体"/>
                <w:sz w:val="21"/>
                <w:szCs w:val="21"/>
                <w:lang w:val="en-US" w:eastAsia="zh-CN"/>
              </w:rPr>
              <w:t>办公区张贴节约用电和节约用水的宣传标识。能够做到人走灯息、空调在26度以上。</w:t>
            </w:r>
          </w:p>
          <w:p>
            <w:pPr>
              <w:rPr>
                <w:rFonts w:hint="default" w:eastAsia="宋体"/>
                <w:sz w:val="21"/>
                <w:szCs w:val="21"/>
                <w:lang w:val="en-US" w:eastAsia="zh-CN"/>
              </w:rPr>
            </w:pPr>
            <w:r>
              <w:rPr>
                <w:rFonts w:hint="eastAsia" w:eastAsia="宋体"/>
                <w:sz w:val="21"/>
                <w:szCs w:val="21"/>
                <w:lang w:val="en-US" w:eastAsia="zh-CN"/>
              </w:rPr>
              <w:t>7、</w:t>
            </w:r>
            <w:r>
              <w:rPr>
                <w:rFonts w:hint="eastAsia"/>
                <w:sz w:val="21"/>
                <w:szCs w:val="21"/>
                <w:lang w:val="en-US" w:eastAsia="zh-CN"/>
              </w:rPr>
              <w:t>该</w:t>
            </w:r>
            <w:r>
              <w:rPr>
                <w:rFonts w:hint="default" w:eastAsia="宋体"/>
                <w:sz w:val="21"/>
                <w:szCs w:val="21"/>
                <w:lang w:val="en-US" w:eastAsia="zh-CN"/>
              </w:rPr>
              <w:t>部门按季对目标指标完成情况进行检查考核，经查2022年</w:t>
            </w:r>
            <w:r>
              <w:rPr>
                <w:rFonts w:hint="eastAsia" w:eastAsia="宋体"/>
                <w:sz w:val="21"/>
                <w:szCs w:val="21"/>
                <w:lang w:val="en-US" w:eastAsia="zh-CN"/>
              </w:rPr>
              <w:t>1-8月</w:t>
            </w:r>
            <w:r>
              <w:rPr>
                <w:rFonts w:hint="default" w:eastAsia="宋体"/>
                <w:sz w:val="21"/>
                <w:szCs w:val="21"/>
                <w:lang w:val="en-US" w:eastAsia="zh-CN"/>
              </w:rPr>
              <w:t>能源各项目标指标全部完成。</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8、提供合格供方名录，按照公司的管理制度进行评价出示的合格供方。进步符合公司管理实际与要求。</w:t>
            </w:r>
          </w:p>
          <w:p>
            <w:pPr>
              <w:pStyle w:val="6"/>
              <w:numPr>
                <w:ilvl w:val="0"/>
                <w:numId w:val="0"/>
              </w:numPr>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抽查2022年合格供应商名单，见下图</w:t>
            </w:r>
          </w:p>
          <w:p>
            <w:pPr>
              <w:pStyle w:val="6"/>
              <w:numPr>
                <w:ilvl w:val="0"/>
                <w:numId w:val="0"/>
              </w:numPr>
              <w:rPr>
                <w:rFonts w:hint="default" w:asciiTheme="minorEastAsia" w:hAnsiTheme="minorEastAsia" w:eastAsiaTheme="minorEastAsia" w:cstheme="minorEastAsia"/>
                <w:color w:val="000000" w:themeColor="text1"/>
                <w:sz w:val="21"/>
                <w:szCs w:val="21"/>
                <w:lang w:val="en-US" w:eastAsia="zh-CN"/>
              </w:rPr>
            </w:pP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2769235" cy="1576070"/>
                  <wp:effectExtent l="0" t="0" r="12065" b="11430"/>
                  <wp:docPr id="17" name="图片 17" descr="1663222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63222923(1)"/>
                          <pic:cNvPicPr>
                            <a:picLocks noChangeAspect="1"/>
                          </pic:cNvPicPr>
                        </pic:nvPicPr>
                        <pic:blipFill>
                          <a:blip r:embed="rId11"/>
                          <a:stretch>
                            <a:fillRect/>
                          </a:stretch>
                        </pic:blipFill>
                        <pic:spPr>
                          <a:xfrm>
                            <a:off x="0" y="0"/>
                            <a:ext cx="2769235" cy="1576070"/>
                          </a:xfrm>
                          <a:prstGeom prst="rect">
                            <a:avLst/>
                          </a:prstGeom>
                        </pic:spPr>
                      </pic:pic>
                    </a:graphicData>
                  </a:graphic>
                </wp:inline>
              </w:drawing>
            </w:r>
          </w:p>
          <w:p>
            <w:pPr>
              <w:pStyle w:val="6"/>
              <w:numPr>
                <w:ilvl w:val="0"/>
                <w:numId w:val="0"/>
              </w:numPr>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编制：陈永平    审核：司建林   日期：2022年5月22日</w:t>
            </w:r>
          </w:p>
          <w:p>
            <w:pPr>
              <w:pStyle w:val="22"/>
              <w:rPr>
                <w:rFonts w:hint="eastAsia" w:asciiTheme="minorEastAsia" w:hAnsiTheme="minorEastAsia" w:eastAsiaTheme="minorEastAsia" w:cstheme="minorEastAsia"/>
                <w:b w:val="0"/>
                <w:bCs w:val="0"/>
                <w:i w:val="0"/>
                <w:iCs w:val="0"/>
                <w:color w:val="000000" w:themeColor="text1"/>
                <w:sz w:val="21"/>
                <w:szCs w:val="21"/>
                <w:highlight w:val="none"/>
                <w:lang w:val="en-US" w:eastAsia="zh-CN"/>
              </w:rPr>
            </w:pPr>
            <w:r>
              <w:rPr>
                <w:rFonts w:hint="eastAsia" w:asciiTheme="minorEastAsia" w:hAnsiTheme="minorEastAsia" w:eastAsiaTheme="minorEastAsia" w:cstheme="minorEastAsia"/>
                <w:b w:val="0"/>
                <w:bCs w:val="0"/>
                <w:i w:val="0"/>
                <w:iCs w:val="0"/>
                <w:color w:val="000000" w:themeColor="text1"/>
                <w:sz w:val="21"/>
                <w:szCs w:val="21"/>
                <w:highlight w:val="none"/>
                <w:lang w:val="en-US" w:eastAsia="zh-CN"/>
              </w:rPr>
              <w:t>并通知合格供应商能源绩效是公司采购的评价标准之一，经查基本符合要求。</w:t>
            </w:r>
          </w:p>
          <w:p>
            <w:pPr>
              <w:keepNext w:val="0"/>
              <w:keepLines w:val="0"/>
              <w:widowControl/>
              <w:suppressLineNumbers w:val="0"/>
              <w:jc w:val="left"/>
              <w:rPr>
                <w:rFonts w:hint="default" w:eastAsia="宋体"/>
                <w:sz w:val="21"/>
                <w:szCs w:val="21"/>
                <w:lang w:val="en-US" w:eastAsia="zh-CN"/>
              </w:rPr>
            </w:pPr>
            <w:r>
              <w:rPr>
                <w:rFonts w:hint="eastAsia" w:ascii="宋体" w:hAnsi="宋体" w:eastAsia="宋体" w:cs="宋体"/>
                <w:i w:val="0"/>
                <w:iCs w:val="0"/>
                <w:sz w:val="21"/>
                <w:szCs w:val="21"/>
                <w:u w:val="single"/>
                <w:lang w:val="en-US" w:eastAsia="zh-CN"/>
              </w:rPr>
              <w:t>现场审核发现，受审核方</w:t>
            </w:r>
            <w:r>
              <w:rPr>
                <w:rFonts w:hint="eastAsia" w:ascii="宋体" w:hAnsi="宋体" w:cs="宋体"/>
                <w:i w:val="0"/>
                <w:iCs w:val="0"/>
                <w:sz w:val="21"/>
                <w:szCs w:val="21"/>
                <w:u w:val="single"/>
                <w:lang w:val="en-US" w:eastAsia="zh-CN"/>
              </w:rPr>
              <w:t>没有</w:t>
            </w:r>
            <w:r>
              <w:rPr>
                <w:rFonts w:hint="eastAsia" w:ascii="宋体" w:hAnsi="宋体" w:eastAsia="宋体" w:cs="宋体"/>
                <w:i w:val="0"/>
                <w:iCs w:val="0"/>
                <w:sz w:val="21"/>
                <w:szCs w:val="21"/>
                <w:u w:val="single"/>
                <w:lang w:val="en-US" w:eastAsia="zh-CN"/>
              </w:rPr>
              <w:t>提供</w:t>
            </w:r>
            <w:r>
              <w:rPr>
                <w:rFonts w:hint="eastAsia" w:ascii="宋体" w:hAnsi="宋体" w:cs="宋体"/>
                <w:i w:val="0"/>
                <w:iCs w:val="0"/>
                <w:sz w:val="21"/>
                <w:szCs w:val="21"/>
                <w:u w:val="single"/>
                <w:lang w:val="en-US" w:eastAsia="zh-CN"/>
              </w:rPr>
              <w:t>对</w:t>
            </w:r>
            <w:r>
              <w:rPr>
                <w:rFonts w:hint="eastAsia" w:ascii="宋体" w:hAnsi="宋体" w:eastAsia="宋体" w:cs="宋体"/>
                <w:i w:val="0"/>
                <w:iCs w:val="0"/>
                <w:sz w:val="21"/>
                <w:szCs w:val="21"/>
                <w:u w:val="single"/>
                <w:lang w:val="en-US" w:eastAsia="zh-CN"/>
              </w:rPr>
              <w:t>设备供方</w:t>
            </w:r>
            <w:r>
              <w:rPr>
                <w:rFonts w:hint="eastAsia" w:ascii="宋体" w:hAnsi="宋体" w:cs="宋体"/>
                <w:i w:val="0"/>
                <w:iCs w:val="0"/>
                <w:sz w:val="21"/>
                <w:szCs w:val="21"/>
                <w:u w:val="single"/>
                <w:lang w:val="en-US" w:eastAsia="zh-CN"/>
              </w:rPr>
              <w:t>承德群鑫电子衡器有限公司告知</w:t>
            </w:r>
            <w:r>
              <w:rPr>
                <w:rFonts w:hint="eastAsia" w:ascii="宋体" w:hAnsi="宋体" w:eastAsia="宋体" w:cs="宋体"/>
                <w:color w:val="000000"/>
                <w:kern w:val="0"/>
                <w:sz w:val="21"/>
                <w:szCs w:val="21"/>
                <w:u w:val="single"/>
                <w:lang w:val="en-US" w:eastAsia="zh-CN" w:bidi="ar"/>
              </w:rPr>
              <w:t>能源绩效是采购评价标准的相关证据，在“供方评价记录”中也未见关于能源绩效方面的评价内容</w:t>
            </w:r>
            <w:r>
              <w:rPr>
                <w:rFonts w:hint="eastAsia" w:ascii="宋体" w:hAnsi="宋体" w:eastAsia="宋体" w:cs="宋体"/>
                <w:i w:val="0"/>
                <w:iCs w:val="0"/>
                <w:sz w:val="21"/>
                <w:szCs w:val="21"/>
                <w:u w:val="single"/>
                <w:lang w:val="en-US" w:eastAsia="zh-CN"/>
              </w:rPr>
              <w:t>。</w:t>
            </w:r>
          </w:p>
        </w:tc>
        <w:tc>
          <w:tcPr>
            <w:tcW w:w="851" w:type="dxa"/>
          </w:tcPr>
          <w:p>
            <w:pPr>
              <w:rPr>
                <w:rFonts w:hint="eastAsia" w:eastAsia="宋体"/>
                <w:sz w:val="21"/>
                <w:szCs w:val="21"/>
                <w:lang w:val="en-US" w:eastAsia="zh-CN"/>
              </w:rPr>
            </w:pPr>
            <w:r>
              <w:rPr>
                <w:rFonts w:hint="eastAsia"/>
                <w:sz w:val="21"/>
                <w:szCs w:val="21"/>
                <w:lang w:val="en-US" w:eastAsia="zh-CN"/>
              </w:rPr>
              <w:t>N</w:t>
            </w:r>
          </w:p>
        </w:tc>
      </w:tr>
    </w:tbl>
    <w:p>
      <w:pPr>
        <w:pStyle w:val="8"/>
        <w:rPr>
          <w:rFonts w:hint="eastAsia"/>
        </w:rPr>
      </w:pPr>
    </w:p>
    <w:p>
      <w:pPr>
        <w:pStyle w:val="8"/>
        <w:rPr>
          <w:rFonts w:hint="eastAsia"/>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eastAsia="宋体"/>
                <w:sz w:val="21"/>
                <w:szCs w:val="21"/>
                <w:lang w:val="en-US" w:eastAsia="zh-CN"/>
              </w:rPr>
            </w:pPr>
            <w:r>
              <w:rPr>
                <w:rFonts w:hint="eastAsia" w:eastAsia="宋体"/>
                <w:sz w:val="21"/>
                <w:szCs w:val="21"/>
                <w:lang w:val="en-US" w:eastAsia="zh-CN"/>
              </w:rPr>
              <w:t>过程与活动、</w:t>
            </w:r>
          </w:p>
          <w:p>
            <w:pPr>
              <w:rPr>
                <w:rFonts w:hint="eastAsia" w:eastAsia="宋体"/>
                <w:sz w:val="21"/>
                <w:szCs w:val="21"/>
                <w:lang w:val="en-US" w:eastAsia="zh-CN"/>
              </w:rPr>
            </w:pPr>
            <w:r>
              <w:rPr>
                <w:rFonts w:hint="eastAsia" w:eastAsia="宋体"/>
                <w:sz w:val="21"/>
                <w:szCs w:val="21"/>
                <w:lang w:val="en-US" w:eastAsia="zh-CN"/>
              </w:rPr>
              <w:t>抽样计划</w:t>
            </w:r>
          </w:p>
        </w:tc>
        <w:tc>
          <w:tcPr>
            <w:tcW w:w="960" w:type="dxa"/>
            <w:vMerge w:val="restart"/>
            <w:vAlign w:val="center"/>
          </w:tcPr>
          <w:p>
            <w:pPr>
              <w:rPr>
                <w:rFonts w:hint="eastAsia" w:eastAsia="宋体"/>
                <w:sz w:val="21"/>
                <w:szCs w:val="21"/>
                <w:lang w:val="en-US" w:eastAsia="zh-CN"/>
              </w:rPr>
            </w:pPr>
            <w:r>
              <w:rPr>
                <w:rFonts w:hint="eastAsia" w:eastAsia="宋体"/>
                <w:sz w:val="21"/>
                <w:szCs w:val="21"/>
                <w:lang w:val="en-US" w:eastAsia="zh-CN"/>
              </w:rPr>
              <w:t>涉及</w:t>
            </w:r>
          </w:p>
          <w:p>
            <w:pPr>
              <w:rPr>
                <w:rFonts w:hint="eastAsia" w:eastAsia="宋体"/>
                <w:sz w:val="21"/>
                <w:szCs w:val="21"/>
                <w:lang w:val="en-US" w:eastAsia="zh-CN"/>
              </w:rPr>
            </w:pPr>
            <w:r>
              <w:rPr>
                <w:rFonts w:hint="eastAsia" w:eastAsia="宋体"/>
                <w:sz w:val="21"/>
                <w:szCs w:val="21"/>
                <w:lang w:val="en-US" w:eastAsia="zh-CN"/>
              </w:rPr>
              <w:t>条款</w:t>
            </w:r>
          </w:p>
        </w:tc>
        <w:tc>
          <w:tcPr>
            <w:tcW w:w="10738" w:type="dxa"/>
            <w:vAlign w:val="center"/>
          </w:tcPr>
          <w:p>
            <w:pPr>
              <w:rPr>
                <w:rFonts w:hint="default" w:eastAsia="宋体"/>
                <w:sz w:val="21"/>
                <w:szCs w:val="21"/>
                <w:lang w:val="en-US" w:eastAsia="zh-CN"/>
              </w:rPr>
            </w:pPr>
            <w:r>
              <w:rPr>
                <w:rFonts w:hint="eastAsia" w:eastAsia="宋体"/>
                <w:sz w:val="21"/>
                <w:szCs w:val="21"/>
                <w:lang w:val="en-US" w:eastAsia="zh-CN"/>
              </w:rPr>
              <w:t>受审核部门：</w:t>
            </w:r>
            <w:r>
              <w:rPr>
                <w:rFonts w:hint="eastAsia"/>
                <w:sz w:val="21"/>
                <w:szCs w:val="21"/>
                <w:lang w:val="en-US" w:eastAsia="zh-CN"/>
              </w:rPr>
              <w:t>安全部</w:t>
            </w:r>
            <w:r>
              <w:rPr>
                <w:rFonts w:hint="eastAsia" w:ascii="Times New Roman" w:hAnsi="Times New Roman" w:eastAsia="宋体" w:cs="Times New Roman"/>
                <w:sz w:val="21"/>
                <w:szCs w:val="21"/>
                <w:lang w:val="en-US" w:eastAsia="zh-CN"/>
              </w:rPr>
              <w:t xml:space="preserve"> </w:t>
            </w:r>
            <w:r>
              <w:rPr>
                <w:rFonts w:hint="eastAsia" w:eastAsia="宋体"/>
                <w:sz w:val="21"/>
                <w:szCs w:val="21"/>
                <w:lang w:val="en-US" w:eastAsia="zh-CN"/>
              </w:rPr>
              <w:t xml:space="preserve">    主管领导：</w:t>
            </w:r>
            <w:r>
              <w:rPr>
                <w:rFonts w:hint="eastAsia"/>
                <w:sz w:val="21"/>
                <w:szCs w:val="21"/>
                <w:lang w:val="en-US" w:eastAsia="zh-CN"/>
              </w:rPr>
              <w:t>王强强</w:t>
            </w:r>
            <w:r>
              <w:rPr>
                <w:rFonts w:hint="eastAsia" w:eastAsia="宋体"/>
                <w:sz w:val="21"/>
                <w:szCs w:val="21"/>
                <w:lang w:val="en-US" w:eastAsia="zh-CN"/>
              </w:rPr>
              <w:t xml:space="preserve">    陪同人员： </w:t>
            </w:r>
            <w:r>
              <w:rPr>
                <w:rFonts w:hint="eastAsia"/>
                <w:color w:val="000000" w:themeColor="text1"/>
                <w:szCs w:val="21"/>
                <w:lang w:val="en-US" w:eastAsia="zh-CN"/>
              </w:rPr>
              <w:t>王昭阳</w:t>
            </w:r>
          </w:p>
        </w:tc>
        <w:tc>
          <w:tcPr>
            <w:tcW w:w="851" w:type="dxa"/>
            <w:vMerge w:val="restart"/>
            <w:vAlign w:val="center"/>
          </w:tcPr>
          <w:p>
            <w:pPr>
              <w:rPr>
                <w:rFonts w:hint="eastAsia" w:eastAsia="宋体"/>
                <w:sz w:val="21"/>
                <w:szCs w:val="21"/>
                <w:lang w:val="en-US" w:eastAsia="zh-CN"/>
              </w:rPr>
            </w:pPr>
            <w:r>
              <w:rPr>
                <w:rFonts w:hint="eastAsia" w:eastAsia="宋体"/>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eastAsia="宋体"/>
                <w:sz w:val="21"/>
                <w:szCs w:val="21"/>
                <w:lang w:val="en-US" w:eastAsia="zh-CN"/>
              </w:rPr>
            </w:pPr>
          </w:p>
        </w:tc>
        <w:tc>
          <w:tcPr>
            <w:tcW w:w="960" w:type="dxa"/>
            <w:vMerge w:val="continue"/>
            <w:vAlign w:val="center"/>
          </w:tcPr>
          <w:p>
            <w:pPr>
              <w:rPr>
                <w:rFonts w:hint="eastAsia" w:eastAsia="宋体"/>
                <w:sz w:val="21"/>
                <w:szCs w:val="21"/>
                <w:lang w:val="en-US" w:eastAsia="zh-CN"/>
              </w:rPr>
            </w:pPr>
          </w:p>
        </w:tc>
        <w:tc>
          <w:tcPr>
            <w:tcW w:w="10738" w:type="dxa"/>
            <w:vAlign w:val="center"/>
          </w:tcPr>
          <w:p>
            <w:pPr>
              <w:rPr>
                <w:rFonts w:hint="default" w:eastAsia="宋体"/>
                <w:sz w:val="21"/>
                <w:szCs w:val="21"/>
                <w:lang w:val="en-US" w:eastAsia="zh-CN"/>
              </w:rPr>
            </w:pPr>
            <w:r>
              <w:rPr>
                <w:rFonts w:hint="eastAsia" w:eastAsia="宋体"/>
                <w:sz w:val="21"/>
                <w:szCs w:val="21"/>
                <w:lang w:val="en-US" w:eastAsia="zh-CN"/>
              </w:rPr>
              <w:t>审核员：</w:t>
            </w:r>
            <w:r>
              <w:rPr>
                <w:rFonts w:hint="eastAsia"/>
                <w:sz w:val="21"/>
                <w:szCs w:val="21"/>
                <w:lang w:val="en-US" w:eastAsia="zh-CN"/>
              </w:rPr>
              <w:t>范玲玲</w:t>
            </w:r>
            <w:r>
              <w:rPr>
                <w:rFonts w:hint="eastAsia" w:eastAsia="宋体"/>
                <w:sz w:val="21"/>
                <w:szCs w:val="21"/>
                <w:lang w:val="en-US" w:eastAsia="zh-CN"/>
              </w:rPr>
              <w:t xml:space="preserve">             审核时间：2022</w:t>
            </w:r>
            <w:r>
              <w:rPr>
                <w:rFonts w:hint="eastAsia"/>
                <w:sz w:val="21"/>
                <w:szCs w:val="21"/>
                <w:lang w:val="en-US" w:eastAsia="zh-CN"/>
              </w:rPr>
              <w:t>.</w:t>
            </w:r>
            <w:r>
              <w:rPr>
                <w:rFonts w:hint="eastAsia" w:eastAsia="宋体"/>
                <w:sz w:val="21"/>
                <w:szCs w:val="21"/>
                <w:lang w:val="en-US" w:eastAsia="zh-CN"/>
              </w:rPr>
              <w:t>9</w:t>
            </w:r>
            <w:r>
              <w:rPr>
                <w:rFonts w:hint="eastAsia"/>
                <w:sz w:val="21"/>
                <w:szCs w:val="21"/>
                <w:lang w:val="en-US" w:eastAsia="zh-CN"/>
              </w:rPr>
              <w:t>.16</w:t>
            </w:r>
          </w:p>
        </w:tc>
        <w:tc>
          <w:tcPr>
            <w:tcW w:w="851" w:type="dxa"/>
            <w:vMerge w:val="continue"/>
          </w:tcPr>
          <w:p>
            <w:pPr>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60" w:type="dxa"/>
            <w:vMerge w:val="continue"/>
            <w:vAlign w:val="center"/>
          </w:tcPr>
          <w:p>
            <w:pPr>
              <w:rPr>
                <w:rFonts w:hint="eastAsia" w:eastAsia="宋体"/>
                <w:sz w:val="21"/>
                <w:szCs w:val="21"/>
                <w:lang w:val="en-US" w:eastAsia="zh-CN"/>
              </w:rPr>
            </w:pPr>
          </w:p>
        </w:tc>
        <w:tc>
          <w:tcPr>
            <w:tcW w:w="960" w:type="dxa"/>
            <w:vMerge w:val="continue"/>
            <w:vAlign w:val="center"/>
          </w:tcPr>
          <w:p>
            <w:pPr>
              <w:rPr>
                <w:rFonts w:hint="eastAsia" w:eastAsia="宋体"/>
                <w:sz w:val="21"/>
                <w:szCs w:val="21"/>
                <w:lang w:val="en-US" w:eastAsia="zh-CN"/>
              </w:rPr>
            </w:pPr>
          </w:p>
        </w:tc>
        <w:tc>
          <w:tcPr>
            <w:tcW w:w="10738" w:type="dxa"/>
            <w:vAlign w:val="center"/>
          </w:tcPr>
          <w:p>
            <w:pPr>
              <w:rPr>
                <w:rFonts w:hint="eastAsia" w:eastAsia="宋体"/>
                <w:sz w:val="21"/>
                <w:szCs w:val="21"/>
                <w:lang w:val="en-US" w:eastAsia="zh-CN"/>
              </w:rPr>
            </w:pPr>
            <w:r>
              <w:rPr>
                <w:rFonts w:hint="eastAsia" w:eastAsia="宋体"/>
                <w:sz w:val="21"/>
                <w:szCs w:val="21"/>
                <w:lang w:val="en-US" w:eastAsia="zh-CN"/>
              </w:rPr>
              <w:t>审核条款：</w:t>
            </w:r>
            <w:r>
              <w:rPr>
                <w:rFonts w:hint="eastAsia" w:asciiTheme="minorEastAsia" w:hAnsiTheme="minorEastAsia" w:eastAsiaTheme="minorEastAsia" w:cstheme="minorEastAsia"/>
                <w:sz w:val="21"/>
                <w:szCs w:val="21"/>
              </w:rPr>
              <w:t>5.3 组织的岗位、职责和权限、6.2 目标、能源指及其实现的策划、</w:t>
            </w:r>
            <w:r>
              <w:rPr>
                <w:rFonts w:hint="eastAsia" w:asciiTheme="minorEastAsia" w:hAnsiTheme="minorEastAsia" w:eastAsiaTheme="minorEastAsia" w:cstheme="minorEastAsia"/>
                <w:b w:val="0"/>
                <w:bCs w:val="0"/>
                <w:sz w:val="21"/>
                <w:szCs w:val="21"/>
                <w:lang w:val="en-US" w:eastAsia="zh-CN"/>
              </w:rPr>
              <w:t>8.1运行的策划和控制</w:t>
            </w:r>
            <w:r>
              <w:rPr>
                <w:rFonts w:hint="eastAsia" w:eastAsia="宋体"/>
                <w:sz w:val="21"/>
                <w:szCs w:val="21"/>
                <w:lang w:val="en-US" w:eastAsia="zh-CN"/>
              </w:rPr>
              <w:t>。EnMS:5.3/6.2/8.1。</w:t>
            </w:r>
          </w:p>
        </w:tc>
        <w:tc>
          <w:tcPr>
            <w:tcW w:w="851" w:type="dxa"/>
            <w:vMerge w:val="continue"/>
          </w:tcPr>
          <w:p>
            <w:pPr>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2160" w:type="dxa"/>
          </w:tcPr>
          <w:p>
            <w:pPr>
              <w:rPr>
                <w:rFonts w:hint="eastAsia" w:eastAsia="宋体"/>
                <w:sz w:val="21"/>
                <w:szCs w:val="21"/>
                <w:lang w:val="en-US" w:eastAsia="zh-CN"/>
              </w:rPr>
            </w:pPr>
            <w:r>
              <w:rPr>
                <w:rFonts w:hint="eastAsia" w:eastAsia="宋体"/>
                <w:sz w:val="21"/>
                <w:szCs w:val="21"/>
                <w:lang w:val="en-US" w:eastAsia="zh-CN"/>
              </w:rPr>
              <w:t>1.组织的岗位、职责和权限，</w:t>
            </w:r>
          </w:p>
          <w:p>
            <w:pPr>
              <w:rPr>
                <w:rFonts w:hint="eastAsia" w:eastAsia="宋体"/>
                <w:sz w:val="21"/>
                <w:szCs w:val="21"/>
                <w:lang w:val="en-US" w:eastAsia="zh-CN"/>
              </w:rPr>
            </w:pPr>
          </w:p>
        </w:tc>
        <w:tc>
          <w:tcPr>
            <w:tcW w:w="960" w:type="dxa"/>
          </w:tcPr>
          <w:p>
            <w:pPr>
              <w:rPr>
                <w:rFonts w:hint="eastAsia" w:eastAsia="宋体"/>
                <w:sz w:val="21"/>
                <w:szCs w:val="21"/>
                <w:lang w:val="en-US" w:eastAsia="zh-CN"/>
              </w:rPr>
            </w:pPr>
            <w:r>
              <w:rPr>
                <w:rFonts w:hint="eastAsia" w:eastAsia="宋体"/>
                <w:sz w:val="21"/>
                <w:szCs w:val="21"/>
                <w:lang w:val="en-US" w:eastAsia="zh-CN"/>
              </w:rPr>
              <w:t>5.3</w:t>
            </w:r>
          </w:p>
        </w:tc>
        <w:tc>
          <w:tcPr>
            <w:tcW w:w="10738" w:type="dxa"/>
          </w:tcPr>
          <w:p>
            <w:pPr>
              <w:autoSpaceDE w:val="0"/>
              <w:autoSpaceDN w:val="0"/>
              <w:adjustRightInd w:val="0"/>
            </w:pPr>
            <w:r>
              <w:rPr>
                <w:rFonts w:hint="eastAsia"/>
                <w:lang w:val="en-US" w:eastAsia="zh-CN"/>
              </w:rPr>
              <w:t>安全部的主要职责：</w:t>
            </w:r>
            <w:r>
              <w:rPr>
                <w:rFonts w:hint="eastAsia"/>
              </w:rPr>
              <w:t>a）负责公司安全、消防、职业卫生等工作规划、计划的制定和组织实施工作，对各单位上述工作进行指导、检查、监督和考核，负责安全、职业卫生、消防、交通安全等方面的宣传教育；</w:t>
            </w:r>
          </w:p>
          <w:p>
            <w:pPr>
              <w:autoSpaceDE w:val="0"/>
              <w:autoSpaceDN w:val="0"/>
              <w:adjustRightInd w:val="0"/>
            </w:pPr>
            <w:r>
              <w:t>b)</w:t>
            </w:r>
            <w:r>
              <w:rPr>
                <w:rFonts w:hint="eastAsia"/>
              </w:rPr>
              <w:t>负责特殊工种和安全管理人员的上岗资质培训和取证监督管理工作。</w:t>
            </w:r>
          </w:p>
          <w:p>
            <w:pPr>
              <w:autoSpaceDE w:val="0"/>
              <w:autoSpaceDN w:val="0"/>
              <w:adjustRightInd w:val="0"/>
            </w:pPr>
            <w:r>
              <w:t>c)</w:t>
            </w:r>
            <w:r>
              <w:rPr>
                <w:rFonts w:hint="eastAsia"/>
              </w:rPr>
              <w:t>负责公司人身伤害、火灾、爆炸、中毒、厂内交通和环境污染事故的调查处理。</w:t>
            </w:r>
          </w:p>
          <w:p>
            <w:pPr>
              <w:autoSpaceDE w:val="0"/>
              <w:autoSpaceDN w:val="0"/>
              <w:adjustRightInd w:val="0"/>
              <w:rPr>
                <w:rFonts w:hint="eastAsia"/>
              </w:rPr>
            </w:pPr>
            <w:r>
              <w:rPr>
                <w:rFonts w:hint="eastAsia"/>
              </w:rPr>
              <w:t>d</w:t>
            </w:r>
            <w:r>
              <w:t>)</w:t>
            </w:r>
            <w:r>
              <w:rPr>
                <w:rFonts w:hint="eastAsia"/>
              </w:rPr>
              <w:t>负责安全应急预案的制定及组织演练。</w:t>
            </w:r>
          </w:p>
          <w:p>
            <w:pPr>
              <w:pStyle w:val="22"/>
              <w:rPr>
                <w:rFonts w:hint="default" w:eastAsia="宋体"/>
                <w:lang w:val="en-US" w:eastAsia="zh-CN"/>
              </w:rPr>
            </w:pPr>
            <w:r>
              <w:rPr>
                <w:rFonts w:hint="eastAsia" w:ascii="宋体" w:hAnsi="宋体" w:eastAsia="宋体" w:cs="宋体"/>
                <w:sz w:val="21"/>
                <w:szCs w:val="21"/>
                <w:lang w:val="en-US" w:eastAsia="zh-CN"/>
              </w:rPr>
              <w:t>经与受审核方安全部负责人王经理沟通，职责权限清楚，经查符合要求。</w:t>
            </w:r>
          </w:p>
        </w:tc>
        <w:tc>
          <w:tcPr>
            <w:tcW w:w="851" w:type="dxa"/>
          </w:tcPr>
          <w:p>
            <w:pPr>
              <w:rPr>
                <w:rFonts w:hint="eastAsia" w:eastAsia="宋体"/>
                <w:sz w:val="21"/>
                <w:szCs w:val="21"/>
                <w:lang w:val="en-US" w:eastAsia="zh-CN"/>
              </w:rPr>
            </w:pPr>
          </w:p>
          <w:p>
            <w:pPr>
              <w:pStyle w:val="16"/>
              <w:rPr>
                <w:rFonts w:hint="eastAsia" w:eastAsia="宋体"/>
                <w:sz w:val="21"/>
                <w:szCs w:val="21"/>
                <w:lang w:val="en-US" w:eastAsia="zh-CN"/>
              </w:rPr>
            </w:pPr>
          </w:p>
          <w:p>
            <w:pPr>
              <w:rPr>
                <w:rFonts w:hint="eastAsia" w:eastAsia="宋体"/>
                <w:sz w:val="21"/>
                <w:szCs w:val="21"/>
                <w:lang w:val="en-US" w:eastAsia="zh-CN"/>
              </w:rPr>
            </w:pPr>
            <w:r>
              <w:rPr>
                <w:rFonts w:hint="eastAsia" w:eastAsia="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60" w:type="dxa"/>
          </w:tcPr>
          <w:p>
            <w:pPr>
              <w:rPr>
                <w:rFonts w:hint="eastAsia" w:eastAsia="宋体"/>
                <w:sz w:val="21"/>
                <w:szCs w:val="21"/>
                <w:lang w:val="en-US" w:eastAsia="zh-CN"/>
              </w:rPr>
            </w:pPr>
            <w:r>
              <w:rPr>
                <w:rFonts w:hint="eastAsia" w:eastAsia="宋体"/>
                <w:sz w:val="21"/>
                <w:szCs w:val="21"/>
                <w:lang w:val="en-US" w:eastAsia="zh-CN"/>
              </w:rPr>
              <w:t>2.目标、能源指及其实现的策划</w:t>
            </w:r>
          </w:p>
        </w:tc>
        <w:tc>
          <w:tcPr>
            <w:tcW w:w="960" w:type="dxa"/>
          </w:tcPr>
          <w:p>
            <w:pPr>
              <w:rPr>
                <w:rFonts w:hint="default" w:eastAsia="宋体"/>
                <w:sz w:val="21"/>
                <w:szCs w:val="21"/>
                <w:lang w:val="en-US" w:eastAsia="zh-CN"/>
              </w:rPr>
            </w:pPr>
            <w:r>
              <w:rPr>
                <w:rFonts w:hint="eastAsia" w:eastAsia="宋体"/>
                <w:sz w:val="21"/>
                <w:szCs w:val="21"/>
                <w:lang w:val="en-US" w:eastAsia="zh-CN"/>
              </w:rPr>
              <w:t>6.2</w:t>
            </w:r>
          </w:p>
        </w:tc>
        <w:tc>
          <w:tcPr>
            <w:tcW w:w="10738" w:type="dxa"/>
          </w:tcPr>
          <w:p>
            <w:pPr>
              <w:rPr>
                <w:rFonts w:hint="default" w:eastAsia="宋体"/>
                <w:sz w:val="21"/>
                <w:szCs w:val="21"/>
                <w:lang w:val="en-US" w:eastAsia="zh-CN"/>
              </w:rPr>
            </w:pPr>
            <w:r>
              <w:rPr>
                <w:rFonts w:hint="eastAsia"/>
                <w:sz w:val="21"/>
                <w:szCs w:val="21"/>
                <w:lang w:val="en-US" w:eastAsia="zh-CN"/>
              </w:rPr>
              <w:t>安全部没有</w:t>
            </w:r>
            <w:r>
              <w:rPr>
                <w:rFonts w:hint="eastAsia" w:eastAsia="宋体"/>
                <w:sz w:val="21"/>
                <w:szCs w:val="21"/>
                <w:lang w:val="en-US" w:eastAsia="zh-CN"/>
              </w:rPr>
              <w:t>制定</w:t>
            </w:r>
            <w:r>
              <w:rPr>
                <w:rFonts w:hint="eastAsia"/>
                <w:sz w:val="21"/>
                <w:szCs w:val="21"/>
                <w:lang w:val="en-US" w:eastAsia="zh-CN"/>
              </w:rPr>
              <w:t>该</w:t>
            </w:r>
            <w:r>
              <w:rPr>
                <w:rFonts w:hint="eastAsia" w:eastAsia="宋体"/>
                <w:sz w:val="21"/>
                <w:szCs w:val="21"/>
                <w:lang w:val="en-US" w:eastAsia="zh-CN"/>
              </w:rPr>
              <w:t>部门的能源目标，执行公司的能源目标。</w:t>
            </w:r>
          </w:p>
        </w:tc>
        <w:tc>
          <w:tcPr>
            <w:tcW w:w="851" w:type="dxa"/>
          </w:tcPr>
          <w:p>
            <w:pPr>
              <w:rPr>
                <w:rFonts w:hint="eastAsia" w:eastAsia="宋体"/>
                <w:sz w:val="21"/>
                <w:szCs w:val="21"/>
                <w:lang w:val="en-US" w:eastAsia="zh-CN"/>
              </w:rPr>
            </w:pPr>
            <w:r>
              <w:rPr>
                <w:rFonts w:hint="eastAsia" w:eastAsia="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tcPr>
          <w:p>
            <w:pPr>
              <w:rPr>
                <w:rFonts w:hint="eastAsia" w:eastAsia="宋体"/>
                <w:sz w:val="21"/>
                <w:szCs w:val="21"/>
                <w:lang w:val="en-US" w:eastAsia="zh-CN"/>
              </w:rPr>
            </w:pPr>
            <w:r>
              <w:rPr>
                <w:rFonts w:hint="eastAsia" w:eastAsia="宋体"/>
                <w:sz w:val="21"/>
                <w:szCs w:val="21"/>
                <w:lang w:val="en-US" w:eastAsia="zh-CN"/>
              </w:rPr>
              <w:t>3.运行的策划和控制；</w:t>
            </w:r>
          </w:p>
          <w:p>
            <w:pPr>
              <w:rPr>
                <w:rFonts w:hint="default" w:eastAsia="宋体"/>
                <w:sz w:val="21"/>
                <w:szCs w:val="21"/>
                <w:lang w:val="en-US" w:eastAsia="zh-CN"/>
              </w:rPr>
            </w:pPr>
          </w:p>
        </w:tc>
        <w:tc>
          <w:tcPr>
            <w:tcW w:w="960" w:type="dxa"/>
          </w:tcPr>
          <w:p>
            <w:pPr>
              <w:rPr>
                <w:rFonts w:hint="eastAsia" w:eastAsia="宋体"/>
                <w:sz w:val="21"/>
                <w:szCs w:val="21"/>
                <w:lang w:val="en-US" w:eastAsia="zh-CN"/>
              </w:rPr>
            </w:pPr>
            <w:r>
              <w:rPr>
                <w:rFonts w:hint="eastAsia" w:eastAsia="宋体"/>
                <w:sz w:val="21"/>
                <w:szCs w:val="21"/>
                <w:lang w:val="en-US" w:eastAsia="zh-CN"/>
              </w:rPr>
              <w:t>8.1</w:t>
            </w:r>
          </w:p>
          <w:p>
            <w:pPr>
              <w:rPr>
                <w:rFonts w:hint="default" w:eastAsia="宋体"/>
                <w:sz w:val="21"/>
                <w:szCs w:val="21"/>
                <w:lang w:val="en-US" w:eastAsia="zh-CN"/>
              </w:rPr>
            </w:pPr>
          </w:p>
        </w:tc>
        <w:tc>
          <w:tcPr>
            <w:tcW w:w="10738" w:type="dxa"/>
          </w:tcPr>
          <w:p>
            <w:pPr>
              <w:rPr>
                <w:rFonts w:hint="default" w:eastAsia="宋体"/>
                <w:sz w:val="21"/>
                <w:szCs w:val="21"/>
                <w:lang w:val="en-US" w:eastAsia="zh-CN"/>
              </w:rPr>
            </w:pPr>
            <w:r>
              <w:rPr>
                <w:rFonts w:hint="eastAsia" w:eastAsia="宋体"/>
                <w:sz w:val="21"/>
                <w:szCs w:val="21"/>
                <w:lang w:val="en-US" w:eastAsia="zh-CN"/>
              </w:rPr>
              <w:t>1、提供文件化信息：《能源管理手册》《</w:t>
            </w:r>
            <w:r>
              <w:rPr>
                <w:sz w:val="21"/>
                <w:szCs w:val="21"/>
              </w:rPr>
              <w:t>能源运行控制程序</w:t>
            </w:r>
            <w:r>
              <w:rPr>
                <w:rFonts w:hint="eastAsia" w:eastAsia="宋体"/>
                <w:sz w:val="21"/>
                <w:szCs w:val="21"/>
                <w:lang w:val="en-US" w:eastAsia="zh-CN"/>
              </w:rPr>
              <w:t>》等，有发布，实施。有编审批。确保了其适宜性和充分性。</w:t>
            </w:r>
          </w:p>
          <w:p>
            <w:pPr>
              <w:pStyle w:val="16"/>
              <w:rPr>
                <w:rFonts w:hint="default" w:eastAsia="宋体"/>
                <w:sz w:val="21"/>
                <w:szCs w:val="21"/>
                <w:lang w:val="en-US" w:eastAsia="zh-CN"/>
              </w:rPr>
            </w:pPr>
            <w:r>
              <w:rPr>
                <w:rFonts w:hint="eastAsia" w:eastAsia="宋体"/>
                <w:sz w:val="21"/>
                <w:szCs w:val="21"/>
                <w:lang w:val="en-US" w:eastAsia="zh-CN"/>
              </w:rPr>
              <w:t>2、</w:t>
            </w:r>
            <w:r>
              <w:rPr>
                <w:rFonts w:hint="eastAsia"/>
                <w:vertAlign w:val="baseline"/>
                <w:lang w:val="en-US" w:eastAsia="zh-CN"/>
              </w:rPr>
              <w:t>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r>
              <w:rPr>
                <w:rFonts w:hint="eastAsia"/>
                <w:sz w:val="21"/>
                <w:szCs w:val="21"/>
                <w:lang w:val="en-US" w:eastAsia="zh-CN"/>
              </w:rPr>
              <w:t>该</w:t>
            </w:r>
            <w:r>
              <w:rPr>
                <w:rFonts w:hint="default" w:eastAsia="宋体"/>
                <w:sz w:val="21"/>
                <w:szCs w:val="21"/>
                <w:lang w:val="en-US" w:eastAsia="zh-CN"/>
              </w:rPr>
              <w:t>部门要求员工照明灯不用时及时将电源关闭， 电脑不使用时及时将电源关闭，电脑设置休眠功能</w:t>
            </w:r>
            <w:r>
              <w:rPr>
                <w:rFonts w:hint="eastAsia" w:eastAsia="宋体"/>
                <w:sz w:val="21"/>
                <w:szCs w:val="21"/>
                <w:lang w:val="en-US" w:eastAsia="zh-CN"/>
              </w:rPr>
              <w:t>等；</w:t>
            </w:r>
          </w:p>
          <w:p>
            <w:pPr>
              <w:pStyle w:val="16"/>
              <w:rPr>
                <w:rFonts w:hint="default"/>
                <w:vertAlign w:val="baseline"/>
                <w:lang w:val="en-US" w:eastAsia="zh-CN"/>
              </w:rPr>
            </w:pPr>
            <w:r>
              <w:rPr>
                <w:rFonts w:hint="eastAsia"/>
                <w:vertAlign w:val="baseline"/>
                <w:lang w:val="en-US" w:eastAsia="zh-CN"/>
              </w:rPr>
              <w:t>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16"/>
              <w:numPr>
                <w:ilvl w:val="0"/>
                <w:numId w:val="0"/>
              </w:numPr>
              <w:rPr>
                <w:rFonts w:hint="eastAsia"/>
                <w:vertAlign w:val="baseline"/>
                <w:lang w:val="en-US" w:eastAsia="zh-CN"/>
              </w:rPr>
            </w:pPr>
            <w:r>
              <w:rPr>
                <w:rFonts w:hint="eastAsia"/>
                <w:vertAlign w:val="baseline"/>
                <w:lang w:val="en-US" w:eastAsia="zh-CN"/>
              </w:rPr>
              <w:t>消防的管理：定期检查附近</w:t>
            </w:r>
            <w:r>
              <w:rPr>
                <w:rFonts w:hint="eastAsia"/>
                <w:vertAlign w:val="baseline"/>
                <w:lang w:val="en-US" w:eastAsia="zh-CN"/>
              </w:rPr>
              <w:sym w:font="Wingdings" w:char="00FE"/>
            </w:r>
            <w:r>
              <w:rPr>
                <w:rFonts w:hint="eastAsia"/>
                <w:vertAlign w:val="baseline"/>
                <w:lang w:val="en-US" w:eastAsia="zh-CN"/>
              </w:rPr>
              <w:t>灭火器和</w:t>
            </w:r>
            <w:r>
              <w:rPr>
                <w:rFonts w:hint="eastAsia"/>
                <w:vertAlign w:val="baseline"/>
                <w:lang w:val="en-US" w:eastAsia="zh-CN"/>
              </w:rPr>
              <w:sym w:font="Wingdings" w:char="00FE"/>
            </w:r>
            <w:r>
              <w:rPr>
                <w:rFonts w:hint="eastAsia"/>
                <w:vertAlign w:val="baseline"/>
                <w:lang w:val="en-US" w:eastAsia="zh-CN"/>
              </w:rPr>
              <w:t>消防栓</w:t>
            </w:r>
            <w:r>
              <w:rPr>
                <w:rFonts w:hint="eastAsia"/>
                <w:vertAlign w:val="baseline"/>
                <w:lang w:val="en-US" w:eastAsia="zh-CN"/>
              </w:rPr>
              <w:sym w:font="Wingdings" w:char="00FE"/>
            </w:r>
            <w:r>
              <w:rPr>
                <w:rFonts w:hint="eastAsia"/>
                <w:vertAlign w:val="baseline"/>
                <w:lang w:val="en-US" w:eastAsia="zh-CN"/>
              </w:rPr>
              <w:t>安全出口标志；</w:t>
            </w:r>
          </w:p>
          <w:p>
            <w:pPr>
              <w:rPr>
                <w:rFonts w:hint="default" w:eastAsia="宋体"/>
                <w:sz w:val="21"/>
                <w:szCs w:val="21"/>
                <w:lang w:val="en-US" w:eastAsia="zh-CN"/>
              </w:rPr>
            </w:pPr>
            <w:r>
              <w:rPr>
                <w:rFonts w:hint="eastAsia"/>
                <w:vertAlign w:val="baseline"/>
                <w:lang w:val="en-US" w:eastAsia="zh-CN"/>
              </w:rPr>
              <w:t>根据安全部的主要职责，重点对生产安全管理，对能源消耗过程主要是办公室环境下的用电用水能源消耗。</w:t>
            </w:r>
          </w:p>
          <w:p>
            <w:pPr>
              <w:rPr>
                <w:rFonts w:hint="default" w:eastAsia="宋体"/>
                <w:sz w:val="21"/>
                <w:szCs w:val="21"/>
                <w:lang w:val="en-US" w:eastAsia="zh-CN"/>
              </w:rPr>
            </w:pPr>
            <w:r>
              <w:rPr>
                <w:rFonts w:hint="eastAsia" w:eastAsia="宋体"/>
                <w:sz w:val="21"/>
                <w:szCs w:val="21"/>
                <w:lang w:val="en-US" w:eastAsia="zh-CN"/>
              </w:rPr>
              <w:t>3、</w:t>
            </w:r>
            <w:r>
              <w:rPr>
                <w:rFonts w:hint="default" w:eastAsia="宋体"/>
                <w:sz w:val="21"/>
                <w:szCs w:val="21"/>
                <w:lang w:val="en-US" w:eastAsia="zh-CN"/>
              </w:rPr>
              <w:t>办公区张贴节约用电和节约用水的宣传标识。能够做到人走灯息、空调在26度以上。</w:t>
            </w:r>
          </w:p>
          <w:p>
            <w:pPr>
              <w:rPr>
                <w:rFonts w:hint="default" w:eastAsia="宋体"/>
                <w:sz w:val="21"/>
                <w:szCs w:val="21"/>
                <w:lang w:val="en-US" w:eastAsia="zh-CN"/>
              </w:rPr>
            </w:pPr>
            <w:r>
              <w:rPr>
                <w:rFonts w:hint="default" w:eastAsia="宋体"/>
                <w:sz w:val="21"/>
                <w:szCs w:val="21"/>
                <w:lang w:val="en-US" w:eastAsia="zh-CN"/>
              </w:rPr>
              <w:t>自公司能源体系运行以来，</w:t>
            </w:r>
            <w:r>
              <w:rPr>
                <w:rFonts w:hint="eastAsia"/>
                <w:sz w:val="21"/>
                <w:szCs w:val="21"/>
                <w:lang w:val="en-US" w:eastAsia="zh-CN"/>
              </w:rPr>
              <w:t>该</w:t>
            </w:r>
            <w:r>
              <w:rPr>
                <w:rFonts w:hint="default" w:eastAsia="宋体"/>
                <w:sz w:val="21"/>
                <w:szCs w:val="21"/>
                <w:lang w:val="en-US" w:eastAsia="zh-CN"/>
              </w:rPr>
              <w:t>部门未发生不符合。</w:t>
            </w:r>
          </w:p>
          <w:p>
            <w:pPr>
              <w:rPr>
                <w:rFonts w:hint="default" w:eastAsia="宋体"/>
                <w:sz w:val="21"/>
                <w:szCs w:val="21"/>
                <w:lang w:val="en-US" w:eastAsia="zh-CN"/>
              </w:rPr>
            </w:pPr>
            <w:r>
              <w:rPr>
                <w:rFonts w:hint="eastAsia" w:eastAsia="宋体"/>
                <w:sz w:val="21"/>
                <w:szCs w:val="21"/>
                <w:lang w:val="en-US" w:eastAsia="zh-CN"/>
              </w:rPr>
              <w:t>符合要求。</w:t>
            </w:r>
          </w:p>
        </w:tc>
        <w:tc>
          <w:tcPr>
            <w:tcW w:w="851" w:type="dxa"/>
          </w:tcPr>
          <w:p>
            <w:pPr>
              <w:rPr>
                <w:rFonts w:hint="eastAsia" w:eastAsia="宋体"/>
                <w:sz w:val="21"/>
                <w:szCs w:val="21"/>
                <w:lang w:val="en-US" w:eastAsia="zh-CN"/>
              </w:rPr>
            </w:pPr>
            <w:r>
              <w:rPr>
                <w:rFonts w:hint="eastAsia" w:eastAsia="宋体"/>
                <w:sz w:val="21"/>
                <w:szCs w:val="21"/>
                <w:lang w:val="en-US" w:eastAsia="zh-CN"/>
              </w:rPr>
              <w:t>Y</w:t>
            </w:r>
          </w:p>
        </w:tc>
      </w:tr>
    </w:tbl>
    <w:p>
      <w:pPr>
        <w:pStyle w:val="8"/>
        <w:rPr>
          <w:rFonts w:hint="eastAsia"/>
        </w:rPr>
      </w:pPr>
    </w:p>
    <w:p>
      <w:pPr>
        <w:pStyle w:val="8"/>
        <w:rPr>
          <w:rFonts w:hint="eastAsia"/>
          <w:color w:val="000000" w:themeColor="text1"/>
        </w:rPr>
      </w:pPr>
    </w:p>
    <w:p>
      <w:pPr>
        <w:pStyle w:val="8"/>
        <w:rPr>
          <w:rFonts w:hint="eastAsia"/>
          <w:color w:val="000000" w:themeColor="text1"/>
        </w:rPr>
      </w:pPr>
    </w:p>
    <w:p>
      <w:pPr>
        <w:pStyle w:val="8"/>
        <w:rPr>
          <w:rFonts w:hint="eastAsia"/>
          <w:color w:val="000000" w:themeColor="text1"/>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59264" behindDoc="0" locked="0" layoutInCell="1" allowOverlap="1">
          <wp:simplePos x="0" y="0"/>
          <wp:positionH relativeFrom="column">
            <wp:posOffset>-12700</wp:posOffset>
          </wp:positionH>
          <wp:positionV relativeFrom="paragraph">
            <wp:posOffset>12065</wp:posOffset>
          </wp:positionV>
          <wp:extent cx="423545" cy="426720"/>
          <wp:effectExtent l="0" t="0" r="317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23545" cy="426720"/>
                  </a:xfrm>
                  <a:prstGeom prst="rect">
                    <a:avLst/>
                  </a:prstGeom>
                </pic:spPr>
              </pic:pic>
            </a:graphicData>
          </a:graphic>
        </wp:anchor>
      </w:drawing>
    </w:r>
    <w:r>
      <w:pict>
        <v:shape id="_x0000_s4098" o:spid="_x0000_s4098" o:spt="202" type="#_x0000_t202" style="position:absolute;left:0pt;margin-left:602.3pt;margin-top:11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1"/>
      </w:pBdr>
      <w:spacing w:line="320" w:lineRule="exact"/>
      <w:ind w:firstLine="756" w:firstLineChars="400"/>
      <w:jc w:val="left"/>
    </w:pPr>
    <w:r>
      <w:rPr>
        <w:rStyle w:val="20"/>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55B71"/>
    <w:multiLevelType w:val="singleLevel"/>
    <w:tmpl w:val="F4055B71"/>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00000015"/>
    <w:multiLevelType w:val="multilevel"/>
    <w:tmpl w:val="00000015"/>
    <w:lvl w:ilvl="0" w:tentative="0">
      <w:start w:val="1"/>
      <w:numFmt w:val="lowerLetter"/>
      <w:pStyle w:val="23"/>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9973B4"/>
    <w:rsid w:val="000237F6"/>
    <w:rsid w:val="0003373A"/>
    <w:rsid w:val="000400E2"/>
    <w:rsid w:val="00062E46"/>
    <w:rsid w:val="000E6B21"/>
    <w:rsid w:val="001A2D7F"/>
    <w:rsid w:val="001B2B1C"/>
    <w:rsid w:val="001D4206"/>
    <w:rsid w:val="002939AD"/>
    <w:rsid w:val="00314AF6"/>
    <w:rsid w:val="00337922"/>
    <w:rsid w:val="00340867"/>
    <w:rsid w:val="00380837"/>
    <w:rsid w:val="003A198A"/>
    <w:rsid w:val="00410914"/>
    <w:rsid w:val="004947CA"/>
    <w:rsid w:val="00536930"/>
    <w:rsid w:val="00564E53"/>
    <w:rsid w:val="005D5659"/>
    <w:rsid w:val="00600C20"/>
    <w:rsid w:val="00644FE2"/>
    <w:rsid w:val="0067640C"/>
    <w:rsid w:val="006A10C1"/>
    <w:rsid w:val="006E678B"/>
    <w:rsid w:val="007757F3"/>
    <w:rsid w:val="007C1B48"/>
    <w:rsid w:val="007E6AEB"/>
    <w:rsid w:val="00870ACF"/>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547517"/>
    <w:rsid w:val="01657C13"/>
    <w:rsid w:val="01747E56"/>
    <w:rsid w:val="01A20B6F"/>
    <w:rsid w:val="01E30C0C"/>
    <w:rsid w:val="01F25A54"/>
    <w:rsid w:val="02AB7851"/>
    <w:rsid w:val="02C75967"/>
    <w:rsid w:val="03B17E9F"/>
    <w:rsid w:val="03B44E81"/>
    <w:rsid w:val="044E0E32"/>
    <w:rsid w:val="047A2E43"/>
    <w:rsid w:val="047C23EE"/>
    <w:rsid w:val="04BA419E"/>
    <w:rsid w:val="04F069D1"/>
    <w:rsid w:val="050D2726"/>
    <w:rsid w:val="056A3321"/>
    <w:rsid w:val="05783597"/>
    <w:rsid w:val="05AA0B19"/>
    <w:rsid w:val="063A6291"/>
    <w:rsid w:val="06D7205C"/>
    <w:rsid w:val="06EA5A5A"/>
    <w:rsid w:val="078828AD"/>
    <w:rsid w:val="078D368D"/>
    <w:rsid w:val="07DB275E"/>
    <w:rsid w:val="08053EFD"/>
    <w:rsid w:val="08263F42"/>
    <w:rsid w:val="08422B0C"/>
    <w:rsid w:val="0876305B"/>
    <w:rsid w:val="08797894"/>
    <w:rsid w:val="088713E8"/>
    <w:rsid w:val="08CE0793"/>
    <w:rsid w:val="08EE3767"/>
    <w:rsid w:val="096965FF"/>
    <w:rsid w:val="09954E0D"/>
    <w:rsid w:val="0A0917C7"/>
    <w:rsid w:val="0A1755E4"/>
    <w:rsid w:val="0A200CA9"/>
    <w:rsid w:val="0A216C7D"/>
    <w:rsid w:val="0A6F7889"/>
    <w:rsid w:val="0A7922E4"/>
    <w:rsid w:val="0A896FE9"/>
    <w:rsid w:val="0ABC7949"/>
    <w:rsid w:val="0ACA55D0"/>
    <w:rsid w:val="0AD01F3B"/>
    <w:rsid w:val="0AFD3115"/>
    <w:rsid w:val="0B064214"/>
    <w:rsid w:val="0B901801"/>
    <w:rsid w:val="0BB1282B"/>
    <w:rsid w:val="0CF72B6F"/>
    <w:rsid w:val="0D2D4B4A"/>
    <w:rsid w:val="0D7218A9"/>
    <w:rsid w:val="0D985275"/>
    <w:rsid w:val="0DAF0B93"/>
    <w:rsid w:val="0DE30110"/>
    <w:rsid w:val="0DE9220E"/>
    <w:rsid w:val="0DFE5677"/>
    <w:rsid w:val="0E0E5533"/>
    <w:rsid w:val="0F3B12A6"/>
    <w:rsid w:val="0F590216"/>
    <w:rsid w:val="106C6179"/>
    <w:rsid w:val="10733C36"/>
    <w:rsid w:val="108219C2"/>
    <w:rsid w:val="11405FA6"/>
    <w:rsid w:val="116F5FE8"/>
    <w:rsid w:val="11912C95"/>
    <w:rsid w:val="11C646FD"/>
    <w:rsid w:val="11CE14E0"/>
    <w:rsid w:val="12254B2F"/>
    <w:rsid w:val="12B75DF4"/>
    <w:rsid w:val="13415AD7"/>
    <w:rsid w:val="134A2608"/>
    <w:rsid w:val="13516249"/>
    <w:rsid w:val="138959E3"/>
    <w:rsid w:val="13946135"/>
    <w:rsid w:val="13B33BC9"/>
    <w:rsid w:val="13BD2BE4"/>
    <w:rsid w:val="1409613B"/>
    <w:rsid w:val="143959B3"/>
    <w:rsid w:val="147941C0"/>
    <w:rsid w:val="14B9416C"/>
    <w:rsid w:val="14BC1DE8"/>
    <w:rsid w:val="14E340D5"/>
    <w:rsid w:val="15115C90"/>
    <w:rsid w:val="15436065"/>
    <w:rsid w:val="155E2E9F"/>
    <w:rsid w:val="155E69FB"/>
    <w:rsid w:val="15B870CC"/>
    <w:rsid w:val="161A5C13"/>
    <w:rsid w:val="1642631D"/>
    <w:rsid w:val="166D6AFA"/>
    <w:rsid w:val="168A7736"/>
    <w:rsid w:val="16A36DBB"/>
    <w:rsid w:val="16AA4F66"/>
    <w:rsid w:val="16B65069"/>
    <w:rsid w:val="16D974B1"/>
    <w:rsid w:val="170D06D9"/>
    <w:rsid w:val="17645581"/>
    <w:rsid w:val="178B4ED3"/>
    <w:rsid w:val="178D388A"/>
    <w:rsid w:val="18572570"/>
    <w:rsid w:val="18D55226"/>
    <w:rsid w:val="190F099B"/>
    <w:rsid w:val="19CC6676"/>
    <w:rsid w:val="1A100473"/>
    <w:rsid w:val="1A29570F"/>
    <w:rsid w:val="1A3348FA"/>
    <w:rsid w:val="1A6425A6"/>
    <w:rsid w:val="1AB01AA7"/>
    <w:rsid w:val="1AB47395"/>
    <w:rsid w:val="1ADD2EA8"/>
    <w:rsid w:val="1B46487E"/>
    <w:rsid w:val="1B4A551C"/>
    <w:rsid w:val="1B4C1884"/>
    <w:rsid w:val="1B4C79BF"/>
    <w:rsid w:val="1B6170A5"/>
    <w:rsid w:val="1B881819"/>
    <w:rsid w:val="1B8C7176"/>
    <w:rsid w:val="1BCF2401"/>
    <w:rsid w:val="1C0D795C"/>
    <w:rsid w:val="1C75625B"/>
    <w:rsid w:val="1C8C17DD"/>
    <w:rsid w:val="1CF10B00"/>
    <w:rsid w:val="1D1244E3"/>
    <w:rsid w:val="1D8D645B"/>
    <w:rsid w:val="1DCA2F12"/>
    <w:rsid w:val="1E056013"/>
    <w:rsid w:val="1E263064"/>
    <w:rsid w:val="1E27007F"/>
    <w:rsid w:val="1E286F45"/>
    <w:rsid w:val="1E3A3D1D"/>
    <w:rsid w:val="1E4246BE"/>
    <w:rsid w:val="1E873FE7"/>
    <w:rsid w:val="1EF731F2"/>
    <w:rsid w:val="1EF87EC0"/>
    <w:rsid w:val="1F107A2E"/>
    <w:rsid w:val="1F536EA5"/>
    <w:rsid w:val="1F771329"/>
    <w:rsid w:val="1FD24163"/>
    <w:rsid w:val="1FF26AC7"/>
    <w:rsid w:val="20822FA7"/>
    <w:rsid w:val="212345D6"/>
    <w:rsid w:val="21396860"/>
    <w:rsid w:val="21BF16DB"/>
    <w:rsid w:val="21ED3656"/>
    <w:rsid w:val="22EA0A7A"/>
    <w:rsid w:val="22F54EA8"/>
    <w:rsid w:val="230E078D"/>
    <w:rsid w:val="23436091"/>
    <w:rsid w:val="23DA6CA9"/>
    <w:rsid w:val="24183C32"/>
    <w:rsid w:val="24612064"/>
    <w:rsid w:val="248C14D9"/>
    <w:rsid w:val="24E376B9"/>
    <w:rsid w:val="24F52E53"/>
    <w:rsid w:val="255C2C6D"/>
    <w:rsid w:val="25A60F9D"/>
    <w:rsid w:val="25B3069D"/>
    <w:rsid w:val="25C6426F"/>
    <w:rsid w:val="25CB1E8B"/>
    <w:rsid w:val="25D01723"/>
    <w:rsid w:val="25D02351"/>
    <w:rsid w:val="25D43F74"/>
    <w:rsid w:val="25F6279D"/>
    <w:rsid w:val="260E6499"/>
    <w:rsid w:val="26D5244A"/>
    <w:rsid w:val="26D66188"/>
    <w:rsid w:val="26E50717"/>
    <w:rsid w:val="26F66212"/>
    <w:rsid w:val="27247AA4"/>
    <w:rsid w:val="277D79BE"/>
    <w:rsid w:val="278524A7"/>
    <w:rsid w:val="279C0A06"/>
    <w:rsid w:val="28352082"/>
    <w:rsid w:val="28EB77AF"/>
    <w:rsid w:val="29475733"/>
    <w:rsid w:val="29711339"/>
    <w:rsid w:val="29891E41"/>
    <w:rsid w:val="298A5926"/>
    <w:rsid w:val="29A21A71"/>
    <w:rsid w:val="29E318C1"/>
    <w:rsid w:val="2A0140CD"/>
    <w:rsid w:val="2A4B5348"/>
    <w:rsid w:val="2A766C51"/>
    <w:rsid w:val="2A9A007E"/>
    <w:rsid w:val="2AAD74CC"/>
    <w:rsid w:val="2B1F7928"/>
    <w:rsid w:val="2B2F4819"/>
    <w:rsid w:val="2B5B1396"/>
    <w:rsid w:val="2B786611"/>
    <w:rsid w:val="2B8C5C18"/>
    <w:rsid w:val="2B8F0674"/>
    <w:rsid w:val="2BAA69BD"/>
    <w:rsid w:val="2BE06F35"/>
    <w:rsid w:val="2BE71DC5"/>
    <w:rsid w:val="2C3103C0"/>
    <w:rsid w:val="2D005B3C"/>
    <w:rsid w:val="2D6851B1"/>
    <w:rsid w:val="2DEF36D7"/>
    <w:rsid w:val="2E1A197C"/>
    <w:rsid w:val="2EB967C5"/>
    <w:rsid w:val="2F5D1B23"/>
    <w:rsid w:val="2F912599"/>
    <w:rsid w:val="30B57CC4"/>
    <w:rsid w:val="316E0FC0"/>
    <w:rsid w:val="318604A8"/>
    <w:rsid w:val="32334EAE"/>
    <w:rsid w:val="323C6F1C"/>
    <w:rsid w:val="32A95256"/>
    <w:rsid w:val="32CA2161"/>
    <w:rsid w:val="32E75CD3"/>
    <w:rsid w:val="33204932"/>
    <w:rsid w:val="332C2F3D"/>
    <w:rsid w:val="333B3560"/>
    <w:rsid w:val="33B17859"/>
    <w:rsid w:val="34012F1B"/>
    <w:rsid w:val="341A7CF1"/>
    <w:rsid w:val="347A765D"/>
    <w:rsid w:val="34B42186"/>
    <w:rsid w:val="351F77BF"/>
    <w:rsid w:val="356B5308"/>
    <w:rsid w:val="3581411C"/>
    <w:rsid w:val="35931184"/>
    <w:rsid w:val="35933FBA"/>
    <w:rsid w:val="35A8064D"/>
    <w:rsid w:val="361577F0"/>
    <w:rsid w:val="36240FF0"/>
    <w:rsid w:val="36452A4F"/>
    <w:rsid w:val="365117DC"/>
    <w:rsid w:val="36742059"/>
    <w:rsid w:val="36D844B9"/>
    <w:rsid w:val="37361CB0"/>
    <w:rsid w:val="374716A1"/>
    <w:rsid w:val="375E3132"/>
    <w:rsid w:val="375F4B2E"/>
    <w:rsid w:val="379F4F25"/>
    <w:rsid w:val="37FA104F"/>
    <w:rsid w:val="382967FA"/>
    <w:rsid w:val="383B0E22"/>
    <w:rsid w:val="38B67CF6"/>
    <w:rsid w:val="39186D3D"/>
    <w:rsid w:val="393C56E6"/>
    <w:rsid w:val="395A7356"/>
    <w:rsid w:val="39925D4F"/>
    <w:rsid w:val="39E763A5"/>
    <w:rsid w:val="3A00075B"/>
    <w:rsid w:val="3A465B2C"/>
    <w:rsid w:val="3A754535"/>
    <w:rsid w:val="3A8E705E"/>
    <w:rsid w:val="3A9C3D5F"/>
    <w:rsid w:val="3AD4006D"/>
    <w:rsid w:val="3B2F152F"/>
    <w:rsid w:val="3BE6600C"/>
    <w:rsid w:val="3BF21AC7"/>
    <w:rsid w:val="3C395948"/>
    <w:rsid w:val="3C3F0879"/>
    <w:rsid w:val="3C597D99"/>
    <w:rsid w:val="3C721706"/>
    <w:rsid w:val="3CD52507"/>
    <w:rsid w:val="3D241721"/>
    <w:rsid w:val="3D405048"/>
    <w:rsid w:val="3D4E6C4D"/>
    <w:rsid w:val="3D507775"/>
    <w:rsid w:val="3D597924"/>
    <w:rsid w:val="3E4B54BF"/>
    <w:rsid w:val="3E4F4E3C"/>
    <w:rsid w:val="3EC252BA"/>
    <w:rsid w:val="3EC455C9"/>
    <w:rsid w:val="3EED6F68"/>
    <w:rsid w:val="3F363088"/>
    <w:rsid w:val="3F4503E6"/>
    <w:rsid w:val="3F4647E2"/>
    <w:rsid w:val="3F655E33"/>
    <w:rsid w:val="3F8A37D7"/>
    <w:rsid w:val="3FAA0F9B"/>
    <w:rsid w:val="3FEF0729"/>
    <w:rsid w:val="40E73C0B"/>
    <w:rsid w:val="40FF7F5C"/>
    <w:rsid w:val="41501180"/>
    <w:rsid w:val="418C6EA0"/>
    <w:rsid w:val="41A102B3"/>
    <w:rsid w:val="41D81C71"/>
    <w:rsid w:val="420A5691"/>
    <w:rsid w:val="425D1C65"/>
    <w:rsid w:val="430458CB"/>
    <w:rsid w:val="433A1A67"/>
    <w:rsid w:val="43752EA3"/>
    <w:rsid w:val="43B81849"/>
    <w:rsid w:val="43C45188"/>
    <w:rsid w:val="43EA1BA4"/>
    <w:rsid w:val="43EF381D"/>
    <w:rsid w:val="44032723"/>
    <w:rsid w:val="444978C2"/>
    <w:rsid w:val="44EB79FC"/>
    <w:rsid w:val="450827B4"/>
    <w:rsid w:val="45466A75"/>
    <w:rsid w:val="456613DE"/>
    <w:rsid w:val="45835A41"/>
    <w:rsid w:val="459052C6"/>
    <w:rsid w:val="4592210C"/>
    <w:rsid w:val="45C75D73"/>
    <w:rsid w:val="45EA0564"/>
    <w:rsid w:val="4610399C"/>
    <w:rsid w:val="465749F4"/>
    <w:rsid w:val="46675326"/>
    <w:rsid w:val="46676C35"/>
    <w:rsid w:val="478B4549"/>
    <w:rsid w:val="47A345BE"/>
    <w:rsid w:val="47C442AB"/>
    <w:rsid w:val="486F498F"/>
    <w:rsid w:val="49891591"/>
    <w:rsid w:val="499618FC"/>
    <w:rsid w:val="49A43C5D"/>
    <w:rsid w:val="4A643F32"/>
    <w:rsid w:val="4AAC461E"/>
    <w:rsid w:val="4AB51850"/>
    <w:rsid w:val="4AEA2B2F"/>
    <w:rsid w:val="4B1D16C3"/>
    <w:rsid w:val="4B3D5431"/>
    <w:rsid w:val="4B5275F3"/>
    <w:rsid w:val="4BB3106D"/>
    <w:rsid w:val="4BC14352"/>
    <w:rsid w:val="4BCB3C39"/>
    <w:rsid w:val="4BCB40E3"/>
    <w:rsid w:val="4C7C72A1"/>
    <w:rsid w:val="4C8654D1"/>
    <w:rsid w:val="4C8A2925"/>
    <w:rsid w:val="4D582734"/>
    <w:rsid w:val="4D9D0161"/>
    <w:rsid w:val="4DDC7F37"/>
    <w:rsid w:val="4DE427FB"/>
    <w:rsid w:val="4E022E2E"/>
    <w:rsid w:val="4E194E12"/>
    <w:rsid w:val="4E377A31"/>
    <w:rsid w:val="4E462FFF"/>
    <w:rsid w:val="4E593C28"/>
    <w:rsid w:val="4ED716D8"/>
    <w:rsid w:val="4F460E7A"/>
    <w:rsid w:val="4F701171"/>
    <w:rsid w:val="4FAC517C"/>
    <w:rsid w:val="4FFD1A67"/>
    <w:rsid w:val="504E666F"/>
    <w:rsid w:val="508939BE"/>
    <w:rsid w:val="50F52783"/>
    <w:rsid w:val="510C5AF5"/>
    <w:rsid w:val="511B40AC"/>
    <w:rsid w:val="51662D55"/>
    <w:rsid w:val="516B614C"/>
    <w:rsid w:val="52945128"/>
    <w:rsid w:val="52D826EB"/>
    <w:rsid w:val="53D34B71"/>
    <w:rsid w:val="547E7F44"/>
    <w:rsid w:val="54C0741A"/>
    <w:rsid w:val="55006BAB"/>
    <w:rsid w:val="55287EB0"/>
    <w:rsid w:val="552B6656"/>
    <w:rsid w:val="55523E09"/>
    <w:rsid w:val="566B44F9"/>
    <w:rsid w:val="568070A4"/>
    <w:rsid w:val="568C3F73"/>
    <w:rsid w:val="56CF74B0"/>
    <w:rsid w:val="56DF2C65"/>
    <w:rsid w:val="56F0460D"/>
    <w:rsid w:val="56F15158"/>
    <w:rsid w:val="5772393E"/>
    <w:rsid w:val="577A72F9"/>
    <w:rsid w:val="57900F32"/>
    <w:rsid w:val="583D0117"/>
    <w:rsid w:val="5891157C"/>
    <w:rsid w:val="59062011"/>
    <w:rsid w:val="59301A29"/>
    <w:rsid w:val="595B4CF8"/>
    <w:rsid w:val="597F7DE2"/>
    <w:rsid w:val="598002BB"/>
    <w:rsid w:val="59F42A57"/>
    <w:rsid w:val="59F54347"/>
    <w:rsid w:val="5A1D6551"/>
    <w:rsid w:val="5A2855C1"/>
    <w:rsid w:val="5A3B2A23"/>
    <w:rsid w:val="5A9304C2"/>
    <w:rsid w:val="5B2E7CB5"/>
    <w:rsid w:val="5B99033C"/>
    <w:rsid w:val="5BA21581"/>
    <w:rsid w:val="5BFD0207"/>
    <w:rsid w:val="5C341831"/>
    <w:rsid w:val="5CAB44D2"/>
    <w:rsid w:val="5CB54AF1"/>
    <w:rsid w:val="5CC22B73"/>
    <w:rsid w:val="5CD80232"/>
    <w:rsid w:val="5CF60894"/>
    <w:rsid w:val="5D2D5EC6"/>
    <w:rsid w:val="5DAF116F"/>
    <w:rsid w:val="5DBA2483"/>
    <w:rsid w:val="5DD032D6"/>
    <w:rsid w:val="5DD70A6E"/>
    <w:rsid w:val="5DDD732D"/>
    <w:rsid w:val="5DE163BC"/>
    <w:rsid w:val="5DFE0F97"/>
    <w:rsid w:val="5E292A40"/>
    <w:rsid w:val="5E56783C"/>
    <w:rsid w:val="5E58469A"/>
    <w:rsid w:val="5EA12B9A"/>
    <w:rsid w:val="5EB56492"/>
    <w:rsid w:val="5EC27919"/>
    <w:rsid w:val="5EC757FF"/>
    <w:rsid w:val="5F1D2B20"/>
    <w:rsid w:val="5F31209E"/>
    <w:rsid w:val="5F445EE1"/>
    <w:rsid w:val="5F5C13F0"/>
    <w:rsid w:val="5F8959EF"/>
    <w:rsid w:val="5F8B635F"/>
    <w:rsid w:val="5FB91D2B"/>
    <w:rsid w:val="60685183"/>
    <w:rsid w:val="609C6059"/>
    <w:rsid w:val="60C5644C"/>
    <w:rsid w:val="60D8693C"/>
    <w:rsid w:val="60E857E8"/>
    <w:rsid w:val="61125AC4"/>
    <w:rsid w:val="61AD5C27"/>
    <w:rsid w:val="61EC1F58"/>
    <w:rsid w:val="61F011BF"/>
    <w:rsid w:val="61F2749E"/>
    <w:rsid w:val="61F324A2"/>
    <w:rsid w:val="620D4FC6"/>
    <w:rsid w:val="6223037D"/>
    <w:rsid w:val="6298438A"/>
    <w:rsid w:val="62C55E6E"/>
    <w:rsid w:val="62D87B2E"/>
    <w:rsid w:val="62F24F2F"/>
    <w:rsid w:val="63175BAC"/>
    <w:rsid w:val="63360306"/>
    <w:rsid w:val="63400E96"/>
    <w:rsid w:val="634714D0"/>
    <w:rsid w:val="634C7460"/>
    <w:rsid w:val="637106C5"/>
    <w:rsid w:val="639A466F"/>
    <w:rsid w:val="63AA33F2"/>
    <w:rsid w:val="643C4C2B"/>
    <w:rsid w:val="645F2B5D"/>
    <w:rsid w:val="650A78D6"/>
    <w:rsid w:val="65604101"/>
    <w:rsid w:val="65AE61B0"/>
    <w:rsid w:val="663858E4"/>
    <w:rsid w:val="664A3CA3"/>
    <w:rsid w:val="66871B04"/>
    <w:rsid w:val="66DD4F9F"/>
    <w:rsid w:val="673A3673"/>
    <w:rsid w:val="67B83316"/>
    <w:rsid w:val="684903CF"/>
    <w:rsid w:val="692F585A"/>
    <w:rsid w:val="693C6C6B"/>
    <w:rsid w:val="693F2356"/>
    <w:rsid w:val="69CD79CF"/>
    <w:rsid w:val="6A004C60"/>
    <w:rsid w:val="6A2D57C4"/>
    <w:rsid w:val="6A753740"/>
    <w:rsid w:val="6AA162E3"/>
    <w:rsid w:val="6B1D005F"/>
    <w:rsid w:val="6B243499"/>
    <w:rsid w:val="6B2A0087"/>
    <w:rsid w:val="6B9C2C1E"/>
    <w:rsid w:val="6BC232AD"/>
    <w:rsid w:val="6C1279E0"/>
    <w:rsid w:val="6CAA131E"/>
    <w:rsid w:val="6CEA2EF7"/>
    <w:rsid w:val="6D8D5B2D"/>
    <w:rsid w:val="6DBC51E2"/>
    <w:rsid w:val="6E26299D"/>
    <w:rsid w:val="6E317B32"/>
    <w:rsid w:val="6E322C73"/>
    <w:rsid w:val="6E71165C"/>
    <w:rsid w:val="6E7F3B0E"/>
    <w:rsid w:val="6E9F4C3F"/>
    <w:rsid w:val="6F205136"/>
    <w:rsid w:val="6F397B2D"/>
    <w:rsid w:val="6F3E67F6"/>
    <w:rsid w:val="6F765216"/>
    <w:rsid w:val="70BC0C82"/>
    <w:rsid w:val="70D311C0"/>
    <w:rsid w:val="70FE0D10"/>
    <w:rsid w:val="7147513F"/>
    <w:rsid w:val="71523BBC"/>
    <w:rsid w:val="71594D33"/>
    <w:rsid w:val="721A7BDD"/>
    <w:rsid w:val="7257141B"/>
    <w:rsid w:val="72CD3B24"/>
    <w:rsid w:val="72CD78D6"/>
    <w:rsid w:val="733D0338"/>
    <w:rsid w:val="742D63C8"/>
    <w:rsid w:val="745443C6"/>
    <w:rsid w:val="74552F0F"/>
    <w:rsid w:val="74602D6B"/>
    <w:rsid w:val="747A1632"/>
    <w:rsid w:val="753266BC"/>
    <w:rsid w:val="753B3879"/>
    <w:rsid w:val="75623FC3"/>
    <w:rsid w:val="75713487"/>
    <w:rsid w:val="75B6295B"/>
    <w:rsid w:val="75CF01A8"/>
    <w:rsid w:val="75F14F63"/>
    <w:rsid w:val="76025C13"/>
    <w:rsid w:val="76236746"/>
    <w:rsid w:val="76432944"/>
    <w:rsid w:val="765A5DFB"/>
    <w:rsid w:val="76AF40A0"/>
    <w:rsid w:val="76FD58A0"/>
    <w:rsid w:val="77002529"/>
    <w:rsid w:val="77187E8F"/>
    <w:rsid w:val="778D1E8E"/>
    <w:rsid w:val="78085442"/>
    <w:rsid w:val="782F74B9"/>
    <w:rsid w:val="789D458E"/>
    <w:rsid w:val="78B95828"/>
    <w:rsid w:val="78CB57AE"/>
    <w:rsid w:val="78E67034"/>
    <w:rsid w:val="790F4ED3"/>
    <w:rsid w:val="79807E6E"/>
    <w:rsid w:val="79817A0B"/>
    <w:rsid w:val="79CD2983"/>
    <w:rsid w:val="79D83C42"/>
    <w:rsid w:val="79F503F9"/>
    <w:rsid w:val="7AA17C39"/>
    <w:rsid w:val="7AB756AF"/>
    <w:rsid w:val="7ACB4CB6"/>
    <w:rsid w:val="7AD6279A"/>
    <w:rsid w:val="7B243ADF"/>
    <w:rsid w:val="7B421755"/>
    <w:rsid w:val="7BDB243B"/>
    <w:rsid w:val="7C6026CD"/>
    <w:rsid w:val="7CAC77EA"/>
    <w:rsid w:val="7CB4634A"/>
    <w:rsid w:val="7CC16C5D"/>
    <w:rsid w:val="7D0B1089"/>
    <w:rsid w:val="7D292894"/>
    <w:rsid w:val="7D4E5294"/>
    <w:rsid w:val="7DFD66A8"/>
    <w:rsid w:val="7E095BA1"/>
    <w:rsid w:val="7E155CD3"/>
    <w:rsid w:val="7E64683F"/>
    <w:rsid w:val="7E676C27"/>
    <w:rsid w:val="7E7062A0"/>
    <w:rsid w:val="7E7A4F88"/>
    <w:rsid w:val="7EA47AE2"/>
    <w:rsid w:val="7EA64814"/>
    <w:rsid w:val="7EAF501B"/>
    <w:rsid w:val="7ED31D30"/>
    <w:rsid w:val="7EF7251E"/>
    <w:rsid w:val="7F5F1A41"/>
    <w:rsid w:val="7F6117DF"/>
    <w:rsid w:val="7FB91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Body Text"/>
    <w:basedOn w:val="1"/>
    <w:next w:val="6"/>
    <w:qFormat/>
    <w:uiPriority w:val="0"/>
    <w:rPr>
      <w:rFonts w:eastAsia="华文细黑"/>
      <w:sz w:val="24"/>
    </w:rPr>
  </w:style>
  <w:style w:type="paragraph" w:styleId="6">
    <w:name w:val="List Bullet 5"/>
    <w:basedOn w:val="1"/>
    <w:semiHidden/>
    <w:unhideWhenUsed/>
    <w:qFormat/>
    <w:uiPriority w:val="99"/>
    <w:pPr>
      <w:numPr>
        <w:ilvl w:val="0"/>
        <w:numId w:val="1"/>
      </w:numPr>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able of figures"/>
    <w:basedOn w:val="1"/>
    <w:next w:val="1"/>
    <w:qFormat/>
    <w:uiPriority w:val="0"/>
    <w:pPr>
      <w:ind w:left="200" w:leftChars="200" w:hanging="200" w:hangingChars="200"/>
    </w:p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w:basedOn w:val="5"/>
    <w:unhideWhenUsed/>
    <w:qFormat/>
    <w:uiPriority w:val="99"/>
    <w:pPr>
      <w:ind w:firstLine="420" w:firstLineChars="1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5"/>
    <w:link w:val="9"/>
    <w:qFormat/>
    <w:uiPriority w:val="99"/>
    <w:rPr>
      <w:rFonts w:ascii="Times New Roman" w:hAnsi="Times New Roman" w:eastAsia="宋体" w:cs="Times New Roman"/>
      <w:sz w:val="18"/>
      <w:szCs w:val="18"/>
    </w:rPr>
  </w:style>
  <w:style w:type="character" w:customStyle="1" w:styleId="18">
    <w:name w:val="页脚 字符"/>
    <w:basedOn w:val="15"/>
    <w:link w:val="8"/>
    <w:qFormat/>
    <w:uiPriority w:val="99"/>
    <w:rPr>
      <w:rFonts w:ascii="Times New Roman" w:hAnsi="Times New Roman" w:eastAsia="宋体" w:cs="Times New Roman"/>
      <w:sz w:val="18"/>
      <w:szCs w:val="18"/>
    </w:rPr>
  </w:style>
  <w:style w:type="character" w:customStyle="1" w:styleId="19">
    <w:name w:val="批注框文本 字符"/>
    <w:basedOn w:val="15"/>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character" w:customStyle="1" w:styleId="21">
    <w:name w:val="font51"/>
    <w:basedOn w:val="15"/>
    <w:qFormat/>
    <w:uiPriority w:val="0"/>
    <w:rPr>
      <w:rFonts w:hint="eastAsia" w:ascii="宋体" w:hAnsi="宋体" w:eastAsia="宋体" w:cs="宋体"/>
      <w:color w:val="000000"/>
      <w:sz w:val="20"/>
      <w:szCs w:val="20"/>
      <w:u w:val="none"/>
    </w:rPr>
  </w:style>
  <w:style w:type="paragraph" w:customStyle="1" w:styleId="2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5597</Words>
  <Characters>5935</Characters>
  <Lines>1</Lines>
  <Paragraphs>1</Paragraphs>
  <TotalTime>4</TotalTime>
  <ScaleCrop>false</ScaleCrop>
  <LinksUpToDate>false</LinksUpToDate>
  <CharactersWithSpaces>6074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2022-10-06T03:36:14Z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867DD168B2C647D9ABE6A7074A7968CC</vt:lpwstr>
  </property>
</Properties>
</file>