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四川瑞诚润信会计师事务所有限公司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成都市锦江区一环路东四段8号510室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成都市金牛区一环路北99号环球广场507室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1024-2022-EO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028-86622569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83243724@qq.com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王欢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>
            <w: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E：35.02.00;35.04.02</w:t>
            </w:r>
          </w:p>
          <w:p>
            <w:r>
              <w:t>O：35.02.00;35.04.02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2022年08月29日 上午至2022年08月29日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O:35.02.00,35.04.02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109855</wp:posOffset>
                  </wp:positionV>
                  <wp:extent cx="927735" cy="314960"/>
                  <wp:effectExtent l="0" t="0" r="12065" b="254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9：00-9：40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9：40-10：20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10：20-11：00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</w:t>
            </w:r>
            <w:bookmarkStart w:id="31" w:name="_GoBack"/>
            <w:bookmarkEnd w:id="31"/>
            <w:r>
              <w:rPr>
                <w:rFonts w:hint="eastAsia"/>
                <w:szCs w:val="18"/>
              </w:rPr>
              <w:t>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9：00-9：40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9：40-10：20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10：20-11：00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FC02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3308</Words>
  <Characters>3762</Characters>
  <Lines>26</Lines>
  <Paragraphs>7</Paragraphs>
  <TotalTime>40</TotalTime>
  <ScaleCrop>false</ScaleCrop>
  <LinksUpToDate>false</LinksUpToDate>
  <CharactersWithSpaces>3834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2022-08-29T02:13:15Z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