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C5" w:rsidRDefault="007A347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478C5">
        <w:trPr>
          <w:trHeight w:val="607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478C5" w:rsidRDefault="007A347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四川奎能环保科技有限公司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478C5" w:rsidRDefault="007A347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0599-2022-QEO</w:t>
            </w:r>
            <w:bookmarkEnd w:id="1"/>
          </w:p>
        </w:tc>
      </w:tr>
      <w:tr w:rsidR="005478C5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478C5" w:rsidRDefault="007A347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成都市新都区新都大道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号西南石油大学科技园大厦</w:t>
            </w:r>
            <w:r>
              <w:rPr>
                <w:rFonts w:ascii="宋体"/>
                <w:bCs/>
                <w:sz w:val="24"/>
              </w:rPr>
              <w:t>1204AB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478C5" w:rsidRDefault="007A347D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张太亮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478C5" w:rsidRDefault="005478C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478C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478C5" w:rsidRDefault="005478C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478C5" w:rsidRDefault="005478C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478C5" w:rsidRDefault="00547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478C5" w:rsidRDefault="00547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478C5" w:rsidRDefault="005478C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478C5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478C5" w:rsidRDefault="007A347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成都市新都区新都大道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号西南石油大学科技园大厦</w:t>
            </w:r>
            <w:r>
              <w:rPr>
                <w:rFonts w:ascii="宋体"/>
                <w:bCs/>
                <w:sz w:val="24"/>
              </w:rPr>
              <w:t>1204AB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478C5" w:rsidRDefault="007A347D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汪显朋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15982413963</w:t>
            </w:r>
            <w:bookmarkEnd w:id="6"/>
          </w:p>
        </w:tc>
      </w:tr>
      <w:tr w:rsidR="005478C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478C5" w:rsidRDefault="005478C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478C5" w:rsidRDefault="005478C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478C5" w:rsidRDefault="00547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478C5" w:rsidRDefault="00547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478C5" w:rsidRDefault="007A347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15982413963</w:t>
            </w:r>
            <w:bookmarkEnd w:id="7"/>
          </w:p>
        </w:tc>
      </w:tr>
      <w:tr w:rsidR="005478C5">
        <w:trPr>
          <w:trHeight w:val="607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5478C5">
        <w:trPr>
          <w:trHeight w:val="460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478C5" w:rsidRDefault="007A347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5478C5">
        <w:trPr>
          <w:trHeight w:val="280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：环境污染治理技术服务（固体废物处理处置、水污染治理）（资质范围内）</w:t>
            </w:r>
          </w:p>
          <w:p w:rsidR="005478C5" w:rsidRDefault="007A347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：环境污染治理技术服务（固体废物处理处置、水污染治理）（资质范围内）所涉及场所的相关环境管理活动</w:t>
            </w:r>
          </w:p>
          <w:p w:rsidR="005478C5" w:rsidRDefault="007A347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：环境污染治理技术服务（固体废物处理处置、水污染治理）（资质范围内）所涉及场所的相关职业健康安全管理活动</w:t>
            </w:r>
            <w:bookmarkEnd w:id="11"/>
          </w:p>
        </w:tc>
      </w:tr>
      <w:tr w:rsidR="005478C5">
        <w:trPr>
          <w:trHeight w:val="280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478C5" w:rsidRDefault="007A347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478C5" w:rsidRDefault="007A347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478C5" w:rsidRDefault="007A347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478C5" w:rsidRDefault="007A347D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478C5" w:rsidRDefault="007A347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39.01.00;39.03.01</w:t>
            </w:r>
          </w:p>
          <w:p w:rsidR="005478C5" w:rsidRDefault="007A347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39.01.00;39.03.01</w:t>
            </w:r>
          </w:p>
          <w:p w:rsidR="005478C5" w:rsidRDefault="007A347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39.01.00;39.03.01</w:t>
            </w:r>
            <w:bookmarkEnd w:id="13"/>
          </w:p>
        </w:tc>
      </w:tr>
      <w:tr w:rsidR="005478C5">
        <w:trPr>
          <w:trHeight w:val="467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5478C5">
            <w:pPr>
              <w:rPr>
                <w:rFonts w:ascii="宋体"/>
                <w:bCs/>
                <w:sz w:val="24"/>
              </w:rPr>
            </w:pPr>
          </w:p>
        </w:tc>
      </w:tr>
      <w:tr w:rsidR="005478C5">
        <w:trPr>
          <w:trHeight w:val="607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478C5" w:rsidRDefault="007A347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含多场所</w:t>
            </w:r>
          </w:p>
        </w:tc>
        <w:tc>
          <w:tcPr>
            <w:tcW w:w="1859" w:type="dxa"/>
            <w:gridSpan w:val="4"/>
            <w:vAlign w:val="center"/>
          </w:tcPr>
          <w:p w:rsidR="005478C5" w:rsidRDefault="007A347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478C5" w:rsidRDefault="007A347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三体系结合</w:t>
            </w:r>
          </w:p>
        </w:tc>
      </w:tr>
      <w:tr w:rsidR="005478C5">
        <w:trPr>
          <w:trHeight w:val="340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478C5" w:rsidRDefault="007A347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范围全抽取</w:t>
            </w:r>
          </w:p>
        </w:tc>
      </w:tr>
      <w:tr w:rsidR="005478C5">
        <w:trPr>
          <w:trHeight w:val="310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478C5" w:rsidRDefault="007A347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478C5" w:rsidRDefault="007A347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478C5" w:rsidRDefault="007A34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478C5" w:rsidRDefault="007A347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478C5" w:rsidRDefault="007A34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478C5" w:rsidRDefault="007A34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478C5" w:rsidRDefault="007A34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478C5" w:rsidRDefault="007A34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478C5" w:rsidRDefault="007A34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478C5" w:rsidRDefault="007A34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 w:rsidR="005478C5">
        <w:trPr>
          <w:trHeight w:val="1377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478C5" w:rsidRDefault="005478C5">
            <w:pPr>
              <w:rPr>
                <w:rFonts w:ascii="宋体" w:hAnsi="宋体" w:cs="宋体"/>
                <w:bCs/>
                <w:sz w:val="24"/>
              </w:rPr>
            </w:pPr>
          </w:p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478C5" w:rsidRDefault="005478C5">
            <w:pPr>
              <w:rPr>
                <w:rFonts w:ascii="宋体" w:hAnsi="宋体" w:cs="宋体"/>
                <w:bCs/>
                <w:sz w:val="24"/>
              </w:rPr>
            </w:pPr>
          </w:p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478C5" w:rsidRDefault="005478C5">
            <w:pPr>
              <w:rPr>
                <w:rFonts w:ascii="宋体" w:hAnsi="宋体" w:cs="宋体"/>
                <w:bCs/>
                <w:sz w:val="24"/>
              </w:rPr>
            </w:pPr>
          </w:p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478C5" w:rsidRDefault="007A347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478C5" w:rsidRDefault="005478C5" w:rsidP="00BE65B0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 w:rsidRPr="005478C5">
              <w:rPr>
                <w:b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99.5pt;margin-top:17.55pt;width:31.65pt;height:28.5pt;z-index:2">
                  <v:imagedata r:id="rId7" o:title="新文档 2019-09-04 21"/>
                </v:shape>
              </w:pic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2022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478C5" w:rsidRDefault="005478C5">
            <w:pPr>
              <w:rPr>
                <w:bCs/>
                <w:sz w:val="24"/>
              </w:rPr>
            </w:pPr>
          </w:p>
        </w:tc>
      </w:tr>
      <w:tr w:rsidR="005478C5">
        <w:trPr>
          <w:trHeight w:val="684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478C5" w:rsidRDefault="005478C5">
            <w:pPr>
              <w:spacing w:line="400" w:lineRule="exact"/>
              <w:rPr>
                <w:bCs/>
                <w:sz w:val="24"/>
              </w:rPr>
            </w:pPr>
          </w:p>
          <w:p w:rsidR="005478C5" w:rsidRPr="00BE65B0" w:rsidRDefault="007A347D">
            <w:pPr>
              <w:spacing w:line="400" w:lineRule="exact"/>
              <w:rPr>
                <w:bCs/>
                <w:sz w:val="24"/>
              </w:rPr>
            </w:pPr>
            <w:r w:rsidRPr="00BE65B0">
              <w:rPr>
                <w:bCs/>
                <w:sz w:val="24"/>
              </w:rPr>
              <w:t>不符合</w:t>
            </w:r>
            <w:r w:rsidRPr="00BE65B0">
              <w:rPr>
                <w:rFonts w:hint="eastAsia"/>
                <w:bCs/>
                <w:sz w:val="24"/>
              </w:rPr>
              <w:t xml:space="preserve"> </w:t>
            </w:r>
            <w:r w:rsidRPr="00BE65B0">
              <w:rPr>
                <w:rFonts w:hint="eastAsia"/>
                <w:bCs/>
                <w:sz w:val="24"/>
              </w:rPr>
              <w:t>1</w:t>
            </w:r>
            <w:r w:rsidRPr="00BE65B0">
              <w:rPr>
                <w:rFonts w:hint="eastAsia"/>
                <w:bCs/>
                <w:sz w:val="24"/>
              </w:rPr>
              <w:t xml:space="preserve">  </w:t>
            </w:r>
            <w:r w:rsidRPr="00BE65B0">
              <w:rPr>
                <w:rFonts w:hint="eastAsia"/>
                <w:bCs/>
                <w:sz w:val="24"/>
              </w:rPr>
              <w:t>项</w:t>
            </w:r>
            <w:r w:rsidRPr="00BE65B0">
              <w:rPr>
                <w:rFonts w:hint="eastAsia"/>
                <w:bCs/>
                <w:sz w:val="24"/>
              </w:rPr>
              <w:t xml:space="preserve">    </w:t>
            </w:r>
            <w:r w:rsidRPr="00BE65B0">
              <w:rPr>
                <w:rFonts w:hint="eastAsia"/>
                <w:bCs/>
                <w:sz w:val="24"/>
              </w:rPr>
              <w:t>分布</w:t>
            </w:r>
            <w:r w:rsidRPr="00BE65B0">
              <w:rPr>
                <w:bCs/>
                <w:sz w:val="24"/>
              </w:rPr>
              <w:t>部门</w:t>
            </w:r>
            <w:r w:rsidRPr="00BE65B0">
              <w:rPr>
                <w:rFonts w:hint="eastAsia"/>
                <w:bCs/>
                <w:sz w:val="24"/>
              </w:rPr>
              <w:t>：</w:t>
            </w:r>
            <w:r w:rsidR="00BE65B0" w:rsidRPr="00BE65B0">
              <w:rPr>
                <w:rFonts w:hint="eastAsia"/>
                <w:bCs/>
                <w:sz w:val="24"/>
              </w:rPr>
              <w:t>技术部</w:t>
            </w:r>
            <w:r w:rsidRPr="00BE65B0">
              <w:rPr>
                <w:rFonts w:hint="eastAsia"/>
                <w:bCs/>
                <w:sz w:val="24"/>
              </w:rPr>
              <w:t xml:space="preserve">           </w:t>
            </w:r>
          </w:p>
          <w:p w:rsidR="005478C5" w:rsidRPr="00BE65B0" w:rsidRDefault="007A347D">
            <w:pPr>
              <w:spacing w:line="400" w:lineRule="exact"/>
              <w:rPr>
                <w:bCs/>
                <w:sz w:val="24"/>
              </w:rPr>
            </w:pPr>
            <w:r w:rsidRPr="00BE65B0">
              <w:rPr>
                <w:rFonts w:hint="eastAsia"/>
                <w:bCs/>
                <w:sz w:val="24"/>
              </w:rPr>
              <w:t>不符合标准及条款：</w:t>
            </w:r>
            <w:r w:rsidR="00BE65B0" w:rsidRPr="00BE65B0">
              <w:rPr>
                <w:rFonts w:hint="eastAsia"/>
                <w:bCs/>
                <w:sz w:val="24"/>
              </w:rPr>
              <w:t>Q7.1.5</w:t>
            </w:r>
          </w:p>
          <w:p w:rsidR="005478C5" w:rsidRPr="00BE65B0" w:rsidRDefault="007A347D">
            <w:pPr>
              <w:spacing w:line="400" w:lineRule="exact"/>
              <w:rPr>
                <w:bCs/>
                <w:sz w:val="24"/>
              </w:rPr>
            </w:pPr>
            <w:r w:rsidRPr="00BE65B0">
              <w:rPr>
                <w:bCs/>
                <w:sz w:val="24"/>
              </w:rPr>
              <w:t>不符合性质</w:t>
            </w:r>
            <w:r w:rsidRPr="00BE65B0">
              <w:rPr>
                <w:rFonts w:hint="eastAsia"/>
                <w:bCs/>
                <w:sz w:val="24"/>
              </w:rPr>
              <w:t>：</w:t>
            </w:r>
            <w:r w:rsidR="00BE65B0" w:rsidRPr="00BE65B0">
              <w:rPr>
                <w:rFonts w:ascii="宋体" w:hAnsi="宋体" w:hint="eastAsia"/>
                <w:sz w:val="24"/>
              </w:rPr>
              <w:sym w:font="Wingdings 2" w:char="0052"/>
            </w:r>
            <w:r w:rsidRPr="00BE65B0">
              <w:rPr>
                <w:rFonts w:hint="eastAsia"/>
                <w:bCs/>
                <w:sz w:val="24"/>
              </w:rPr>
              <w:t>一般不符合</w:t>
            </w:r>
            <w:r w:rsidRPr="00BE65B0">
              <w:rPr>
                <w:rFonts w:hint="eastAsia"/>
                <w:bCs/>
                <w:sz w:val="24"/>
              </w:rPr>
              <w:t xml:space="preserve">   </w:t>
            </w:r>
            <w:r w:rsidRPr="00BE65B0">
              <w:rPr>
                <w:rFonts w:hint="eastAsia"/>
                <w:bCs/>
                <w:sz w:val="24"/>
              </w:rPr>
              <w:t>□严重不符合</w:t>
            </w:r>
          </w:p>
          <w:p w:rsidR="005478C5" w:rsidRDefault="005478C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478C5" w:rsidRDefault="007A347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478C5" w:rsidRDefault="007A347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478C5" w:rsidRDefault="007A347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478C5" w:rsidRDefault="007A34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478C5" w:rsidRDefault="005478C5">
            <w:pPr>
              <w:pStyle w:val="a0"/>
              <w:ind w:firstLine="480"/>
              <w:rPr>
                <w:sz w:val="24"/>
              </w:rPr>
            </w:pPr>
          </w:p>
          <w:p w:rsidR="005478C5" w:rsidRDefault="005478C5">
            <w:pPr>
              <w:pStyle w:val="a0"/>
              <w:ind w:firstLineChars="0" w:firstLine="0"/>
              <w:rPr>
                <w:bCs/>
                <w:sz w:val="24"/>
              </w:rPr>
            </w:pPr>
            <w:r w:rsidRPr="005478C5">
              <w:rPr>
                <w:b/>
                <w:sz w:val="22"/>
                <w:szCs w:val="22"/>
              </w:rPr>
              <w:pict>
                <v:shape id="图片 1" o:spid="_x0000_s1026" type="#_x0000_t75" style="position:absolute;left:0;text-align:left;margin-left:98.8pt;margin-top:1.5pt;width:31.65pt;height:28.5pt;z-index:1">
                  <v:imagedata r:id="rId7" o:title="新文档 2019-09-04 21"/>
                </v:shape>
              </w:pict>
            </w: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2022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  <w:bookmarkStart w:id="18" w:name="_GoBack"/>
            <w:bookmarkEnd w:id="18"/>
          </w:p>
        </w:tc>
      </w:tr>
      <w:tr w:rsidR="005478C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478C5" w:rsidRDefault="007A34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478C5">
        <w:trPr>
          <w:trHeight w:val="578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478C5" w:rsidRDefault="007A34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478C5">
        <w:trPr>
          <w:trHeight w:val="911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478C5" w:rsidRDefault="005478C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478C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478C5" w:rsidRDefault="007A34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478C5" w:rsidRDefault="007A34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478C5" w:rsidRDefault="005478C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478C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478C5" w:rsidRDefault="005478C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478C5" w:rsidRDefault="007A34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478C5" w:rsidRDefault="007A34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478C5" w:rsidRDefault="005478C5">
            <w:pPr>
              <w:pStyle w:val="a0"/>
              <w:ind w:firstLine="480"/>
              <w:rPr>
                <w:sz w:val="24"/>
              </w:rPr>
            </w:pP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478C5" w:rsidRDefault="005478C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478C5" w:rsidRDefault="007A34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478C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478C5" w:rsidRDefault="007A34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478C5">
        <w:trPr>
          <w:trHeight w:val="578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478C5" w:rsidRDefault="007A34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478C5">
        <w:trPr>
          <w:trHeight w:val="578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478C5" w:rsidRDefault="005478C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478C5">
        <w:trPr>
          <w:trHeight w:val="578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478C5" w:rsidRDefault="007A34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478C5" w:rsidRDefault="007A34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478C5" w:rsidRDefault="005478C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478C5">
        <w:trPr>
          <w:trHeight w:val="578"/>
          <w:jc w:val="center"/>
        </w:trPr>
        <w:tc>
          <w:tcPr>
            <w:tcW w:w="1381" w:type="dxa"/>
          </w:tcPr>
          <w:p w:rsidR="005478C5" w:rsidRDefault="005478C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478C5" w:rsidRDefault="007A34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478C5" w:rsidRDefault="007A34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478C5" w:rsidRDefault="005478C5">
            <w:pPr>
              <w:pStyle w:val="a0"/>
              <w:ind w:firstLine="480"/>
              <w:rPr>
                <w:sz w:val="24"/>
              </w:rPr>
            </w:pP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478C5" w:rsidRDefault="005478C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478C5" w:rsidRDefault="007A347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478C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478C5" w:rsidRDefault="007A34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478C5">
        <w:trPr>
          <w:trHeight w:val="578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478C5" w:rsidRDefault="007A34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478C5">
        <w:trPr>
          <w:trHeight w:val="911"/>
          <w:jc w:val="center"/>
        </w:trPr>
        <w:tc>
          <w:tcPr>
            <w:tcW w:w="1381" w:type="dxa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478C5" w:rsidRDefault="005478C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478C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478C5" w:rsidRDefault="007A3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478C5" w:rsidRDefault="007A34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478C5" w:rsidRDefault="007A34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478C5" w:rsidRDefault="005478C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478C5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478C5" w:rsidRDefault="005478C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478C5" w:rsidRDefault="007A34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478C5" w:rsidRDefault="007A34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478C5" w:rsidRDefault="005478C5">
            <w:pPr>
              <w:pStyle w:val="a0"/>
              <w:ind w:firstLine="480"/>
              <w:rPr>
                <w:sz w:val="24"/>
              </w:rPr>
            </w:pP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478C5" w:rsidRDefault="007A34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478C5" w:rsidRDefault="005478C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478C5" w:rsidRDefault="007A347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478C5" w:rsidRDefault="005478C5">
      <w:pPr>
        <w:pStyle w:val="a0"/>
        <w:ind w:firstLine="480"/>
        <w:rPr>
          <w:bCs/>
          <w:sz w:val="24"/>
        </w:rPr>
      </w:pPr>
    </w:p>
    <w:p w:rsidR="005478C5" w:rsidRDefault="005478C5">
      <w:pPr>
        <w:pStyle w:val="a0"/>
        <w:ind w:firstLine="480"/>
        <w:rPr>
          <w:bCs/>
          <w:sz w:val="24"/>
        </w:rPr>
      </w:pPr>
    </w:p>
    <w:p w:rsidR="005478C5" w:rsidRDefault="005478C5">
      <w:pPr>
        <w:pStyle w:val="a0"/>
        <w:ind w:firstLine="480"/>
        <w:rPr>
          <w:bCs/>
          <w:sz w:val="24"/>
        </w:rPr>
      </w:pPr>
    </w:p>
    <w:p w:rsidR="005478C5" w:rsidRDefault="005478C5">
      <w:pPr>
        <w:pStyle w:val="a0"/>
        <w:ind w:firstLineChars="0" w:firstLine="0"/>
        <w:rPr>
          <w:bCs/>
          <w:sz w:val="24"/>
        </w:rPr>
      </w:pPr>
    </w:p>
    <w:sectPr w:rsidR="005478C5" w:rsidSect="005478C5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7D" w:rsidRDefault="007A347D" w:rsidP="005478C5">
      <w:r>
        <w:separator/>
      </w:r>
    </w:p>
  </w:endnote>
  <w:endnote w:type="continuationSeparator" w:id="0">
    <w:p w:rsidR="007A347D" w:rsidRDefault="007A347D" w:rsidP="0054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C5" w:rsidRDefault="005478C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7D" w:rsidRDefault="007A347D" w:rsidP="005478C5">
      <w:r>
        <w:separator/>
      </w:r>
    </w:p>
  </w:footnote>
  <w:footnote w:type="continuationSeparator" w:id="0">
    <w:p w:rsidR="007A347D" w:rsidRDefault="007A347D" w:rsidP="00547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C5" w:rsidRDefault="005478C5">
    <w:pPr>
      <w:spacing w:line="240" w:lineRule="atLeast"/>
      <w:ind w:firstLine="1365"/>
      <w:rPr>
        <w:rFonts w:ascii="宋体"/>
        <w:sz w:val="24"/>
        <w:u w:val="single"/>
      </w:rPr>
    </w:pPr>
  </w:p>
  <w:p w:rsidR="005478C5" w:rsidRDefault="005478C5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478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478C5" w:rsidRDefault="007A347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478C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7A347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478C5" w:rsidRDefault="007A347D" w:rsidP="00BE65B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QyZmQ4MWM5YTdlOTM3ZWEzMDQwZGU2MjkwZTUyZWYifQ=="/>
  </w:docVars>
  <w:rsids>
    <w:rsidRoot w:val="005478C5"/>
    <w:rsid w:val="005478C5"/>
    <w:rsid w:val="007A347D"/>
    <w:rsid w:val="00BE65B0"/>
    <w:rsid w:val="6683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78C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478C5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478C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47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47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478C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478C5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478C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478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478C5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478C5"/>
    <w:pPr>
      <w:ind w:firstLineChars="200" w:firstLine="420"/>
    </w:pPr>
  </w:style>
  <w:style w:type="character" w:customStyle="1" w:styleId="CharChar1">
    <w:name w:val="Char Char1"/>
    <w:qFormat/>
    <w:locked/>
    <w:rsid w:val="005478C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2433</Characters>
  <Application>Microsoft Office Word</Application>
  <DocSecurity>0</DocSecurity>
  <Lines>20</Lines>
  <Paragraphs>5</Paragraphs>
  <ScaleCrop>false</ScaleCrop>
  <Company>微软中国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2022-09-03T02:03:00Z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