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7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沁阳市宏达钢铁有限公司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r>
              <w:rPr>
                <w:rFonts w:hint="eastAsia"/>
                <w:b/>
                <w:szCs w:val="21"/>
                <w:lang w:eastAsia="zh-CN"/>
              </w:rPr>
              <w:t>☑</w:t>
            </w:r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5" w:name="F勾选"/>
            <w:r>
              <w:rPr>
                <w:rFonts w:hint="eastAsia" w:cs="宋体"/>
                <w:b/>
                <w:szCs w:val="21"/>
              </w:rPr>
              <w:t>□</w:t>
            </w:r>
            <w:bookmarkEnd w:id="5"/>
            <w:r>
              <w:rPr>
                <w:rFonts w:hint="eastAsia" w:ascii="宋体" w:hAnsi="宋体"/>
                <w:szCs w:val="21"/>
              </w:rPr>
              <w:t xml:space="preserve">FSMS </w:t>
            </w:r>
            <w:bookmarkStart w:id="6" w:name="H勾选"/>
            <w:r>
              <w:rPr>
                <w:rFonts w:hint="eastAsia" w:cs="宋体"/>
                <w:b/>
                <w:szCs w:val="21"/>
              </w:rPr>
              <w:t>□</w:t>
            </w:r>
            <w:bookmarkEnd w:id="6"/>
            <w:r>
              <w:rPr>
                <w:rFonts w:hint="eastAsia" w:ascii="宋体" w:hAnsi="宋体"/>
                <w:szCs w:val="21"/>
              </w:rPr>
              <w:t>HACCP</w:t>
            </w:r>
          </w:p>
          <w:p>
            <w:bookmarkStart w:id="7" w:name="初审"/>
            <w:r>
              <w:rPr>
                <w:rFonts w:hint="eastAsia"/>
                <w:b/>
                <w:szCs w:val="21"/>
              </w:rPr>
              <w:t>■</w:t>
            </w:r>
            <w:bookmarkEnd w:id="7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  <w:lang w:eastAsia="zh-CN"/>
              </w:rPr>
              <w:t>☑</w:t>
            </w:r>
            <w:r>
              <w:rPr>
                <w:rFonts w:hint="eastAsia"/>
                <w:b/>
                <w:szCs w:val="21"/>
              </w:rPr>
              <w:t xml:space="preserve">第( </w:t>
            </w:r>
            <w:r>
              <w:rPr>
                <w:rFonts w:hint="eastAsia"/>
                <w:b/>
                <w:szCs w:val="21"/>
                <w:lang w:val="en-US" w:eastAsia="zh-CN"/>
              </w:rPr>
              <w:t>2</w:t>
            </w:r>
            <w:r>
              <w:rPr>
                <w:rFonts w:hint="eastAsia"/>
                <w:b/>
                <w:szCs w:val="21"/>
              </w:rPr>
              <w:t xml:space="preserve"> )阶段审核</w:t>
            </w:r>
            <w:bookmarkStart w:id="8" w:name="再认证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再认证</w:t>
            </w:r>
            <w:bookmarkStart w:id="9" w:name="监督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监督（</w:t>
            </w:r>
            <w:bookmarkStart w:id="10" w:name="监督次数"/>
            <w:bookmarkEnd w:id="10"/>
            <w:r>
              <w:rPr>
                <w:rFonts w:hint="eastAsia"/>
                <w:b/>
                <w:szCs w:val="21"/>
              </w:rPr>
              <w:t>）次□证书转换</w:t>
            </w:r>
            <w:bookmarkStart w:id="11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1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观察项（建议项）描述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1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1"/>
                <w:szCs w:val="21"/>
                <w:u w:val="none"/>
                <w:lang w:val="en-US" w:eastAsia="zh-CN"/>
              </w:rPr>
              <w:t>识别的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</w:rPr>
              <w:t>相关方的需求不充分。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2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b w:val="0"/>
                <w:bCs/>
                <w:i w:val="0"/>
                <w:iCs w:val="0"/>
                <w:sz w:val="21"/>
                <w:szCs w:val="21"/>
                <w:u w:val="none"/>
                <w:lang w:val="en-US" w:eastAsia="zh-CN"/>
              </w:rPr>
              <w:t>经与公司相关人员沟通识别的风险和机遇不充分。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3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sz w:val="21"/>
                <w:szCs w:val="21"/>
                <w:u w:val="none"/>
                <w:lang w:val="en-US" w:eastAsia="zh-CN"/>
              </w:rPr>
              <w:t>受审核方管理评审记录中各部门的输入材料不充分。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4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经查询《沁阳市宏达钢铁有限公司-</w:t>
            </w:r>
            <w:r>
              <w:rPr>
                <w:rFonts w:hint="default" w:eastAsia="宋体"/>
                <w:sz w:val="21"/>
                <w:szCs w:val="21"/>
                <w:lang w:val="en-US" w:eastAsia="zh-CN"/>
              </w:rPr>
              <w:t xml:space="preserve">2021 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 xml:space="preserve">年度能源审计报告》设备淘汰更新计划表，轧钢车间有36电机淘汰计划，淘汰时间为预计 </w:t>
            </w:r>
            <w:r>
              <w:rPr>
                <w:rFonts w:hint="default" w:eastAsia="宋体"/>
                <w:sz w:val="21"/>
                <w:szCs w:val="21"/>
                <w:lang w:val="en-US" w:eastAsia="zh-CN"/>
              </w:rPr>
              <w:t xml:space="preserve">2022 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default" w:eastAsia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default" w:eastAsia="宋体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 xml:space="preserve">日前完成，炼钢车间有59台电机淘汰计划，淘汰时间为预计 </w:t>
            </w:r>
            <w:r>
              <w:rPr>
                <w:rFonts w:hint="default" w:eastAsia="宋体"/>
                <w:sz w:val="21"/>
                <w:szCs w:val="21"/>
                <w:lang w:val="en-US" w:eastAsia="zh-CN"/>
              </w:rPr>
              <w:t xml:space="preserve">2022 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年9月</w:t>
            </w:r>
            <w:r>
              <w:rPr>
                <w:rFonts w:hint="default" w:eastAsia="宋体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日前完成，经检查还没有完成。</w:t>
            </w:r>
          </w:p>
          <w:p>
            <w:pPr>
              <w:rPr>
                <w:rFonts w:ascii="方正仿宋简体" w:hAnsi="Times New Roman" w:eastAsia="方正仿宋简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在《法律法规清单》中有《能源管理体系 纯碱、焦化、橡塑制品、制药等化工企业认证要求》RB/T114-2014。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6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内审计划缺少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4.1/4.3/4.4/5.1/5.2/5.3条款的审核安排，未安排管理层的审核；</w:t>
            </w:r>
          </w:p>
          <w:p>
            <w:pPr>
              <w:rPr>
                <w:rFonts w:hint="eastAsia" w:ascii="Times New Roman" w:hAnsi="Times New Roman" w:eastAsia="宋体" w:cs="Times New Roman"/>
                <w:color w:val="FF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企业的内部审核计划安排的部门与审核记录的部门不一致，检查内容不够具体，不符合项未提供原因分析，已和企业沟通进一步完善。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7</w:t>
            </w:r>
            <w:bookmarkStart w:id="12" w:name="_GoBack"/>
            <w:bookmarkEnd w:id="12"/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公司目标指标及分解不清晰，环境能源部作为能源主责部门，目标指标确定为“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能源培训计划完成率达到90%</w:t>
            </w:r>
            <w:r>
              <w:rPr>
                <w:rFonts w:hint="eastAsia"/>
                <w:lang w:val="en-US" w:eastAsia="zh-CN"/>
              </w:rPr>
              <w:t>”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不适宜。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3" w:type="default"/>
      <w:pgSz w:w="11906" w:h="16838"/>
      <w:pgMar w:top="1440" w:right="1080" w:bottom="1440" w:left="1080" w:header="79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  <w:sz w:val="18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394pt;margin-top:11.35pt;height:19.9pt;width:95.7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ISC-B-II-18(05版）</w:t>
                </w:r>
              </w:p>
            </w:txbxContent>
          </v:textbox>
        </v:shape>
      </w:pict>
    </w:r>
    <w:r>
      <w:rPr>
        <w:rStyle w:val="11"/>
        <w:rFonts w:hint="default"/>
        <w:sz w:val="18"/>
      </w:rPr>
      <w:t>北京国标联合认证有限公司</w:t>
    </w:r>
    <w:r>
      <w:rPr>
        <w:rStyle w:val="11"/>
        <w:rFonts w:hint="default"/>
        <w:sz w:val="18"/>
      </w:rPr>
      <w:tab/>
    </w:r>
    <w:r>
      <w:rPr>
        <w:rStyle w:val="11"/>
        <w:rFonts w:hint="default"/>
        <w:sz w:val="18"/>
      </w:rPr>
      <w:tab/>
    </w:r>
    <w:r>
      <w:rPr>
        <w:rStyle w:val="11"/>
        <w:rFonts w:hint="default"/>
        <w:sz w:val="18"/>
      </w:rPr>
      <w:tab/>
    </w:r>
  </w:p>
  <w:p>
    <w:pPr>
      <w:pStyle w:val="5"/>
      <w:pBdr>
        <w:bottom w:val="single" w:color="auto" w:sz="4" w:space="1"/>
      </w:pBdr>
      <w:spacing w:line="320" w:lineRule="exact"/>
      <w:ind w:firstLine="727" w:firstLineChars="449"/>
      <w:jc w:val="left"/>
    </w:pPr>
    <w:r>
      <w:rPr>
        <w:rStyle w:val="1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dhOGY5MzIwYjM5OWFmZGI4MTBhODVhYjUzMzlkOTUifQ=="/>
  </w:docVars>
  <w:rsids>
    <w:rsidRoot w:val="00000000"/>
    <w:rsid w:val="0CC467C9"/>
    <w:rsid w:val="12DA6BFE"/>
    <w:rsid w:val="1C751F64"/>
    <w:rsid w:val="37BC5411"/>
    <w:rsid w:val="50C71722"/>
    <w:rsid w:val="704C078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306</Words>
  <Characters>353</Characters>
  <Lines>1</Lines>
  <Paragraphs>1</Paragraphs>
  <TotalTime>0</TotalTime>
  <ScaleCrop>false</ScaleCrop>
  <LinksUpToDate>false</LinksUpToDate>
  <CharactersWithSpaces>375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Lenovo</cp:lastModifiedBy>
  <dcterms:modified xsi:type="dcterms:W3CDTF">2022-09-16T04:40:43Z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2052-11.1.0.12358</vt:lpwstr>
  </property>
</Properties>
</file>