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97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9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环境能源部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刘亚辉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97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周涛、 杨冰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9.16</w:t>
            </w:r>
          </w:p>
        </w:tc>
        <w:tc>
          <w:tcPr>
            <w:tcW w:w="79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97" w:type="dxa"/>
            <w:vAlign w:val="center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审核条款：6.3/6.4/6.5/6.6/8.2/9.1.2</w:t>
            </w:r>
          </w:p>
        </w:tc>
        <w:tc>
          <w:tcPr>
            <w:tcW w:w="79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能源评审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En6.3</w:t>
            </w:r>
          </w:p>
        </w:tc>
        <w:tc>
          <w:tcPr>
            <w:tcW w:w="10797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提供：“沁阳市宏达钢铁有限公司能源评审报告”2021年8月1；内容包括：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能源评审基础信息（目的和范围和边界、评审期、公司能源使用基本情况、淘汰能耗落后工艺、设备概况等）;  公司管理体系覆盖范围包括：</w:t>
            </w:r>
            <w:bookmarkStart w:id="0" w:name="审核范围"/>
            <w:r>
              <w:rPr>
                <w:rFonts w:hint="eastAsia"/>
                <w:sz w:val="24"/>
                <w:szCs w:val="24"/>
                <w:lang w:val="en-US" w:eastAsia="zh-CN"/>
              </w:rPr>
              <w:t>资质范围内钢筋混凝土用热轧钢筋的生产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所涉及的能源管理活动。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评审期：20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年1月1日～20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年12月31日。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基准期：20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年1月1日～20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年12月31日生产周期内平均值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能源管理状况评审（能源方针目标、能源管理组织及职责、能源管理制度、能源管理、能源计量、能源统计管理、能源定额管理、近三年生产和节能技改项目等）；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能源利用状况评审（能源消耗结构分析、用能设备能耗分析等）；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节能潜力分析和能源绩效优先改进机会识别（管理改进方法、项目改进方法）；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未来能源的消耗分析；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能源评审输出（能源绩效参数、能源基准和能源目标指标、影响主要能源使用的相关变量和参数控制）；能源评审报告中未具体描述影响电力使用（主要能源使用）的相关变量——问题项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结论和建议（总体评价、建议）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以上内容基本满足标准要求。</w:t>
            </w:r>
          </w:p>
        </w:tc>
        <w:tc>
          <w:tcPr>
            <w:tcW w:w="792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能源绩效参数、能源基准的确定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En6.4/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10797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企业根据2020年、2021年的生产经营情况进行分析，认为2020年和2021年因受市场原因和新冠疫情的影响，企业的生产经营活动处于波动状态，能源消耗不稳定，通过对2020年市场分析和企业的生产规模及与客户的沟通确定2020年的生产规模和能源绩效参数及能源基准和目标；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根据能源消耗分析可知，公司的电力消耗是企业主要能源使用，炼钢工序占比99.96%；天然气占比0.004%，主要是电弧炉的使用，通过加强电弧炉用电的管理进行控制，降低能源消耗；轧钢工序2020年电力消耗占比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62.64%、天然气占37.33%、水占0.03%。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因此企业制定的能源绩效参数为：综合能耗总量（kgce）和单位产品能耗（kgce/t）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能源基准以上年度实际发生值为基准。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根据能源评审报告分析：2021年沁阳市宏达钢铁有限公司的能源绩效参数和能源基准确定如下;</w:t>
            </w:r>
          </w:p>
          <w:tbl>
            <w:tblPr>
              <w:tblStyle w:val="14"/>
              <w:tblW w:w="472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9"/>
              <w:gridCol w:w="2855"/>
              <w:gridCol w:w="2855"/>
              <w:gridCol w:w="28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</w:trPr>
              <w:tc>
                <w:tcPr>
                  <w:tcW w:w="715" w:type="pct"/>
                  <w:tcBorders>
                    <w:top w:val="double" w:color="auto" w:sz="4" w:space="0"/>
                    <w:left w:val="double" w:color="auto" w:sz="4" w:space="0"/>
                  </w:tcBorders>
                  <w:noWrap/>
                  <w:vAlign w:val="center"/>
                </w:tcPr>
                <w:p>
                  <w:pPr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项  目</w:t>
                  </w:r>
                </w:p>
              </w:tc>
              <w:tc>
                <w:tcPr>
                  <w:tcW w:w="1428" w:type="pct"/>
                  <w:tcBorders>
                    <w:top w:val="double" w:color="auto" w:sz="4" w:space="0"/>
                  </w:tcBorders>
                  <w:noWrap w:val="0"/>
                  <w:vAlign w:val="center"/>
                </w:tcPr>
                <w:p>
                  <w:pPr>
                    <w:ind w:firstLine="480" w:firstLineChars="20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产品生产量</w:t>
                  </w:r>
                </w:p>
              </w:tc>
              <w:tc>
                <w:tcPr>
                  <w:tcW w:w="1428" w:type="pct"/>
                  <w:tcBorders>
                    <w:top w:val="double" w:color="auto" w:sz="4" w:space="0"/>
                  </w:tcBorders>
                  <w:noWrap w:val="0"/>
                  <w:vAlign w:val="center"/>
                </w:tcPr>
                <w:p>
                  <w:pPr>
                    <w:ind w:firstLine="480" w:firstLineChars="20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综合能耗</w:t>
                  </w:r>
                </w:p>
              </w:tc>
              <w:tc>
                <w:tcPr>
                  <w:tcW w:w="1428" w:type="pct"/>
                  <w:tcBorders>
                    <w:top w:val="doub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  <w:sz w:val="24"/>
                      <w:szCs w:val="24"/>
                    </w:rPr>
                    <w:t>产品单位综合能耗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715" w:type="pct"/>
                  <w:tcBorders>
                    <w:left w:val="double" w:color="auto" w:sz="4" w:space="0"/>
                  </w:tcBorders>
                  <w:noWrap/>
                  <w:vAlign w:val="center"/>
                </w:tcPr>
                <w:p>
                  <w:pPr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单  位</w:t>
                  </w:r>
                </w:p>
              </w:tc>
              <w:tc>
                <w:tcPr>
                  <w:tcW w:w="1428" w:type="pct"/>
                  <w:noWrap w:val="0"/>
                  <w:vAlign w:val="center"/>
                </w:tcPr>
                <w:p>
                  <w:pPr>
                    <w:ind w:firstLine="960" w:firstLineChars="4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t</w:t>
                  </w:r>
                </w:p>
              </w:tc>
              <w:tc>
                <w:tcPr>
                  <w:tcW w:w="1428" w:type="pct"/>
                  <w:noWrap w:val="0"/>
                  <w:vAlign w:val="center"/>
                </w:tcPr>
                <w:p>
                  <w:pPr>
                    <w:ind w:firstLine="960" w:firstLineChars="400"/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Kgce</w:t>
                  </w:r>
                </w:p>
              </w:tc>
              <w:tc>
                <w:tcPr>
                  <w:tcW w:w="1428" w:type="pct"/>
                  <w:noWrap w:val="0"/>
                  <w:vAlign w:val="center"/>
                </w:tcPr>
                <w:p>
                  <w:pPr>
                    <w:ind w:firstLine="960" w:firstLineChars="4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Kgce/t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715" w:type="pct"/>
                  <w:tcBorders>
                    <w:left w:val="double" w:color="auto" w:sz="4" w:space="0"/>
                  </w:tcBorders>
                  <w:noWrap/>
                  <w:vAlign w:val="center"/>
                </w:tcPr>
                <w:p>
                  <w:pPr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炼钢工序</w:t>
                  </w:r>
                </w:p>
              </w:tc>
              <w:tc>
                <w:tcPr>
                  <w:tcW w:w="1428" w:type="pct"/>
                  <w:noWrap w:val="0"/>
                  <w:vAlign w:val="bottom"/>
                </w:tcPr>
                <w:p>
                  <w:pPr>
                    <w:ind w:firstLine="480" w:firstLineChars="2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324638吨</w:t>
                  </w:r>
                </w:p>
              </w:tc>
              <w:tc>
                <w:tcPr>
                  <w:tcW w:w="1428" w:type="pct"/>
                  <w:noWrap w:val="0"/>
                  <w:vAlign w:val="bottom"/>
                </w:tcPr>
                <w:p>
                  <w:pPr>
                    <w:ind w:firstLine="480" w:firstLineChars="2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21682081</w:t>
                  </w:r>
                </w:p>
              </w:tc>
              <w:tc>
                <w:tcPr>
                  <w:tcW w:w="1428" w:type="pct"/>
                  <w:noWrap w:val="0"/>
                  <w:vAlign w:val="bottom"/>
                </w:tcPr>
                <w:p>
                  <w:pPr>
                    <w:ind w:firstLine="960" w:firstLineChars="4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66.788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715" w:type="pct"/>
                  <w:tcBorders>
                    <w:left w:val="double" w:color="auto" w:sz="4" w:space="0"/>
                  </w:tcBorders>
                  <w:noWrap/>
                  <w:vAlign w:val="center"/>
                </w:tcPr>
                <w:p>
                  <w:pPr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轧钢工序</w:t>
                  </w:r>
                </w:p>
              </w:tc>
              <w:tc>
                <w:tcPr>
                  <w:tcW w:w="1428" w:type="pct"/>
                  <w:noWrap w:val="0"/>
                  <w:vAlign w:val="bottom"/>
                </w:tcPr>
                <w:p>
                  <w:pPr>
                    <w:ind w:firstLine="720" w:firstLineChars="3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319208吨</w:t>
                  </w:r>
                </w:p>
              </w:tc>
              <w:tc>
                <w:tcPr>
                  <w:tcW w:w="1428" w:type="pct"/>
                  <w:noWrap w:val="0"/>
                  <w:vAlign w:val="bottom"/>
                </w:tcPr>
                <w:p>
                  <w:pPr>
                    <w:ind w:firstLine="480" w:firstLineChars="2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12629258</w:t>
                  </w:r>
                </w:p>
              </w:tc>
              <w:tc>
                <w:tcPr>
                  <w:tcW w:w="1428" w:type="pct"/>
                  <w:noWrap w:val="0"/>
                  <w:vAlign w:val="bottom"/>
                </w:tcPr>
                <w:p>
                  <w:pPr>
                    <w:ind w:firstLine="960" w:firstLineChars="4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39.56</w:t>
                  </w:r>
                </w:p>
              </w:tc>
            </w:tr>
          </w:tbl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792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能源数据的收集策划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En6.6</w:t>
            </w:r>
          </w:p>
        </w:tc>
        <w:tc>
          <w:tcPr>
            <w:tcW w:w="1079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企业根据能源统计和能源核算以及成本考核等因素，对能源数据的收集进行了策划，并通过生产统计表（日报表）的形式予以展示，按照数据收集策划的要求对能源消耗进行成本核算和考核，基本满足企业能源管理的要求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2020年、2021年、以及2022年1-8月份的数据收集情况如下：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6750685" cy="2522855"/>
                  <wp:effectExtent l="0" t="0" r="5715" b="444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685" cy="252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r>
              <w:drawing>
                <wp:inline distT="0" distB="0" distL="114300" distR="114300">
                  <wp:extent cx="6710680" cy="2513965"/>
                  <wp:effectExtent l="0" t="0" r="7620" b="63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80" cy="251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</w:pPr>
            <w:r>
              <w:drawing>
                <wp:inline distT="0" distB="0" distL="114300" distR="114300">
                  <wp:extent cx="6692900" cy="2631440"/>
                  <wp:effectExtent l="0" t="0" r="0" b="1016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0" cy="263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</w:pPr>
            <w:r>
              <w:drawing>
                <wp:inline distT="0" distB="0" distL="114300" distR="114300">
                  <wp:extent cx="6741160" cy="2618105"/>
                  <wp:effectExtent l="0" t="0" r="2540" b="1079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160" cy="261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</w:pPr>
            <w:r>
              <w:drawing>
                <wp:inline distT="0" distB="0" distL="114300" distR="114300">
                  <wp:extent cx="6748780" cy="2530475"/>
                  <wp:effectExtent l="0" t="0" r="7620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8780" cy="253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2021年单位产品能耗完成情况：</w:t>
            </w:r>
          </w:p>
          <w:p>
            <w:pPr>
              <w:pStyle w:val="13"/>
              <w:ind w:left="0" w:leftChars="0" w:firstLine="0" w:firstLineChars="0"/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2021年炼钢工序单位产品综合能耗为70.299kgce/t，超出目标值，没有完成目标；</w:t>
            </w:r>
          </w:p>
          <w:p>
            <w:pPr>
              <w:pStyle w:val="13"/>
              <w:ind w:left="0" w:leftChars="0" w:firstLine="0" w:firstLineChars="0"/>
              <w:rPr>
                <w:rFonts w:hint="default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2021年轧钢工序单位产品综合能耗为29.617kgce/t，小于目标值，完成了目标；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2022年1-8月份单位产品能耗完成情况：</w:t>
            </w:r>
          </w:p>
          <w:p>
            <w:pPr>
              <w:pStyle w:val="13"/>
              <w:ind w:left="0" w:leftChars="0" w:firstLine="0" w:firstLineChars="0"/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2022年1-8月份炼钢工序单位产品综合能耗为63.985kgce/t，完成了目标；</w:t>
            </w:r>
          </w:p>
          <w:p>
            <w:pPr>
              <w:pStyle w:val="1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2022年1-8月份轧钢单位产品综合能耗为25.775kgce/t，完成了</w:t>
            </w:r>
            <w:r>
              <w:rPr>
                <w:rFonts w:hint="default" w:ascii="宋体" w:hAnsi="宋体"/>
                <w:b/>
                <w:bCs/>
                <w:szCs w:val="24"/>
                <w:lang w:eastAsia="zh-CN"/>
              </w:rPr>
              <w:t>目标。</w:t>
            </w:r>
          </w:p>
        </w:tc>
        <w:tc>
          <w:tcPr>
            <w:tcW w:w="792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8.2</w:t>
            </w:r>
          </w:p>
        </w:tc>
        <w:tc>
          <w:tcPr>
            <w:tcW w:w="10797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沁阳市宏达钢铁有限公司节能降碳改造项目方案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为积极响应沁阳市人民政府节能降碳改造工作，公司主要节能改造计划∶1、炼钢余热发电项目；2、炼钢余热供暖项目；3、光伏发电项目；4、建设压缩空气集控基站，详细方案如下∶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一、推进步骤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划1∶公司计划新建“200万吨新型特钢项目”，为了更好的提高余热利用效果增大余热发电量，更好的响应国家政策与号召，避免资源浪费，故公司计划将“余热发电”放置于“200万吨新型特钢项目”后建设，届时“余热发电”项目可以带动更大的锅炉发电，预计2022 年下半年或2023年上半年开始正式实施“余热发电”项目；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计划2∶炼钢余热供暖项目将在炼钢余热发电项目完成后实施；计划3∶已改造完成；计划4∶已改造完成。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二、改造时间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计划1∶2022年9月-2023年12月计划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2∶2022年9月-2023年12月计划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3∶已完成计划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4∶已完成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三、技术路线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计划1∶利用炼钢余热发电，节约能源消耗，减少二氧化碳排放；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计划2∶利用余热资源作为机组的动力，通过驱动机组达到制冷或供热的目的，节约能源消耗；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计划3∶利用半导体材料的光伏效应将太阳能直接转化为电能，节约能源消耗；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计划4∶建设集中供气站，淘汰厂区分散集中供气设备年节约电量。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四、投资项目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计划1与计划2预计共投资3500万元，目前正在筹备阶段；计划3∶光伏发电自发自用投资额为588万元，计划对厂房安装3MW 光伏发电设备，发电量自发自用年发电量1300万度节能量1597吨标准煤，二氧化碳减排量7931吨。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计划4∶建设压缩空气集控基站投资额为912万元，建设集中供气站，淘汰厂区分散集中供气设备年节约电量1000万度节能量1229吨标准煤，二氧化碳减排量6101吨。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五、完成项目预期节能量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t>2826吨标准煤，二氧化碳减排量14032吨。</w:t>
            </w:r>
          </w:p>
        </w:tc>
        <w:tc>
          <w:tcPr>
            <w:tcW w:w="792" w:type="dxa"/>
          </w:tcPr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 y</w:t>
            </w:r>
          </w:p>
          <w:p>
            <w:pPr>
              <w:pStyle w:val="13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6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合规性评价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9.1.2</w:t>
            </w:r>
          </w:p>
        </w:tc>
        <w:tc>
          <w:tcPr>
            <w:tcW w:w="10797" w:type="dxa"/>
            <w:vAlign w:val="top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提供2022年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日企业组织的合规性评价报告及编制的《能源法律法规清单》识别法律法规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项，相关标准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项；包括：中华人民共和国节约能源法、清洁生产法、计量法、GB/T23331-2020能源管理体系 要求及使用指南等。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提供《能源管理体系法律、法规及其它要求合规性评价报告》对识别的61项法律法规、标准进行合规性评价。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经评价组人员的综合评价，公司严格贯彻执行国家、地方相关法律法规和其它标准要求，通过多方面、多渠道去节约能源，使公司在能源消耗方面取得了一定的成效。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评价结论：评价组人员一致认为公司遵守国家、地方法律法规和其它要求符合、有效；全部合规。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sz w:val="24"/>
                <w:szCs w:val="24"/>
                <w:lang w:val="en-US" w:eastAsia="zh-CN"/>
              </w:rPr>
              <w:t>在《法律法规清单》中有《能源管理体系 纯碱、焦化、橡塑制品、制药等化工企业认证要求》RB/T114-2014。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炼钢车间使用的电力由当地电网负责：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电机使用情况及淘汰计划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经与国家发布的《产业结构调整指导目录》(2013年修正) 、《部分工业行业淘汰落后生产工艺装备和产品指导目录》和《高耗能落后机电设备（产品）淘汰目录（第一批）、（第二批）、（第三批）》进行对照，发现有淘汰的落后设备和工艺。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具体淘汰的工艺和设备参见：《宏达钢铁有限公司落后机电设备及工艺淘汰明细表》。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经查询《沁阳市宏达钢铁有限公司-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2021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年度能源审计报告》设备淘汰更新计划表，轧钢车间有36电机淘汰计划，淘汰时间为预计 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2022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日前完成，炼钢车间有59台电机淘汰计划，淘汰时间为预计 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2022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年9月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日前完成。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提供《沁阳市宏达钢铁有限公司淘汰电机计划》计划于2023年1月份进行更换。</w:t>
            </w:r>
          </w:p>
        </w:tc>
        <w:tc>
          <w:tcPr>
            <w:tcW w:w="792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不符合及纠正措施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10.1</w:t>
            </w:r>
          </w:p>
        </w:tc>
        <w:tc>
          <w:tcPr>
            <w:tcW w:w="107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现场审核发现，2021年炼钢工序单位产品综合能耗为70.299kgce/t，超出2020年的66.788kgce/t，没有对升高的原因进行分析，也没有制定控制措施；</w:t>
            </w:r>
          </w:p>
        </w:tc>
        <w:tc>
          <w:tcPr>
            <w:tcW w:w="792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N</w:t>
            </w:r>
          </w:p>
        </w:tc>
      </w:tr>
    </w:tbl>
    <w:p/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spacing w:line="480" w:lineRule="exact"/>
        <w:jc w:val="center"/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pStyle w:val="9"/>
      </w:pPr>
    </w:p>
    <w:tbl>
      <w:tblPr>
        <w:tblStyle w:val="1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54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54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受审核部门：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生产部-轧钢车间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主管领导：刘立彪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陪同人员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王沛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5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审核员：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周涛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、杨冰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9.15</w:t>
            </w:r>
          </w:p>
        </w:tc>
        <w:tc>
          <w:tcPr>
            <w:tcW w:w="8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54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审核条款：5.3 组织的岗位、职责和权限、6.2 目标、能源指及其实现的策划、8.1 运行的策划和控制、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9.1.1监视、测量、分析、评价、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10.1 不符合与纠正措施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8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5.3 组织的岗位、职责和权限、</w:t>
            </w:r>
          </w:p>
        </w:tc>
        <w:tc>
          <w:tcPr>
            <w:tcW w:w="960" w:type="dxa"/>
          </w:tcPr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En5.3</w:t>
            </w:r>
          </w:p>
        </w:tc>
        <w:tc>
          <w:tcPr>
            <w:tcW w:w="10754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轧钢车间 职责：</w:t>
            </w: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1、负责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钢材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轧钢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工作；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2、合理安排生产调度，努力降低能源消耗和损失，提高能源利用率。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3、负责提供能源基础设施和工作环境。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4、负责能源体系要求的设备正常运行，做好生产过程的能源控制和对能源过程能力的确认。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5、能源数据的收集整理上报等统计工作。</w:t>
            </w: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6、参与能源应急预案的编制和落实工作。</w:t>
            </w:r>
          </w:p>
        </w:tc>
        <w:tc>
          <w:tcPr>
            <w:tcW w:w="835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160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6.2 目标、能源指及其实现的策划、</w:t>
            </w:r>
          </w:p>
        </w:tc>
        <w:tc>
          <w:tcPr>
            <w:tcW w:w="960" w:type="dxa"/>
          </w:tcPr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En6.2</w:t>
            </w:r>
          </w:p>
        </w:tc>
        <w:tc>
          <w:tcPr>
            <w:tcW w:w="10754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轧钢车间202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年的能源目标为：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轧钢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单位产品综合能耗：</w:t>
            </w:r>
            <w:r>
              <w:rPr>
                <w:rFonts w:hint="eastAsia" w:ascii="宋体" w:hAnsi="宋体"/>
                <w:sz w:val="24"/>
              </w:rPr>
              <w:t>≦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39.56kgce/t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抽查轧钢车间2020年目标完成情况：</w:t>
            </w:r>
          </w:p>
          <w:p>
            <w:pP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年轧钢车间单位产品综合能耗为：</w:t>
            </w: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29.617kgce/t</w:t>
            </w:r>
          </w:p>
          <w:p>
            <w:pPr>
              <w:pStyle w:val="25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轧钢车间2022年目标：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轧钢车间单位产品综合能耗为：</w:t>
            </w:r>
            <w:r>
              <w:rPr>
                <w:rFonts w:hint="eastAsia" w:ascii="宋体" w:hAnsi="宋体"/>
                <w:sz w:val="24"/>
              </w:rPr>
              <w:t>≦</w:t>
            </w: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29.617kgce/t</w:t>
            </w:r>
          </w:p>
          <w:p>
            <w:pP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轧钢车间202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年1-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完成情况：轧钢车间单位产品综合能耗</w:t>
            </w: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25.775kgce/t，</w:t>
            </w:r>
          </w:p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完成了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目标。</w:t>
            </w: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查节能管理方案：轧钢车间没有提供节能管理方案（沟通交流）</w:t>
            </w:r>
          </w:p>
        </w:tc>
        <w:tc>
          <w:tcPr>
            <w:tcW w:w="835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y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60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8.1 运行的策划和控制、</w:t>
            </w:r>
          </w:p>
        </w:tc>
        <w:tc>
          <w:tcPr>
            <w:tcW w:w="960" w:type="dxa"/>
          </w:tcPr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En8.1</w:t>
            </w:r>
          </w:p>
        </w:tc>
        <w:tc>
          <w:tcPr>
            <w:tcW w:w="10754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编制了《能源管理制度》、《生产设备操作规程》包括“鄂式破碎机操作规程、圆锥破碎机操作规程、振动筛操作规程、球磨机操作规程、浮选机操作规程、过滤机操作规程、循环水泵电机操作规程”等；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轧钢工艺流程：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400040" cy="1866900"/>
                  <wp:effectExtent l="0" t="0" r="1016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抽查设备操作规程、维护保养规程：如下图：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现场询查操作规程的培训效果，操作人员都明确操作的具体内容。现场检查操作记录，记录了空压机运转和维护保养情况的情况；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3、在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设备操作室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抽查各种设备操作日志，都能按照设备操作规程进行操作并进行记录。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4、轧钢车间计划内没有变更；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5、经询查，轧钢车间没有外包；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、检查各种能源计量器具的校检情况：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检查各种能源计量器具的校检情况：</w:t>
            </w: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电力有当地的电网负责，柴油消耗有附近的加油站负责计量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电机使用情况及淘汰计划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经与国家发布的《产业结构调整指导目录》(2013年修正) 、《部分工业行业淘汰落后生产工艺装备和产品指导目录》和《高耗能落后机电设备（产品）淘汰目录（第一批）、（第二批）、（第三批）》进行对照，未发现有淘汰的落后设备和工艺。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具体淘汰的工艺和设备参见：《石人沟铁矿落后机电设备及工艺淘汰明细表》。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抽查轧钢工序控制过程（操作记录）：</w:t>
            </w: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33905" cy="2302510"/>
                  <wp:effectExtent l="0" t="0" r="10795" b="8890"/>
                  <wp:docPr id="9" name="图片 9" descr="77ab063282030266cbd72d91d99a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7ab063282030266cbd72d91d99a9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230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轧钢过程数控。</w:t>
            </w:r>
          </w:p>
        </w:tc>
        <w:tc>
          <w:tcPr>
            <w:tcW w:w="835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60" w:type="dxa"/>
          </w:tcPr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监视、测量、分析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En9.1.1</w:t>
            </w:r>
          </w:p>
        </w:tc>
        <w:tc>
          <w:tcPr>
            <w:tcW w:w="10754" w:type="dxa"/>
            <w:vAlign w:val="top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近三年单位产品能耗波动情况：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轧钢工序单位产品能耗趋势图：</w:t>
            </w: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6591935" cy="2261870"/>
                  <wp:effectExtent l="4445" t="4445" r="7620" b="6985"/>
                  <wp:docPr id="10" name="图表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57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轧钢工序国家没有制定限额，可参考河北省地方标准DB13/T2136-2014轧钢单位产品能源消耗限额：轧钢</w:t>
            </w:r>
            <w:r>
              <w:rPr>
                <w:rFonts w:hint="eastAsia" w:ascii="宋体" w:hAnsi="宋体"/>
                <w:sz w:val="24"/>
              </w:rPr>
              <w:t>企业单位产品能耗≦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4"/>
              </w:rPr>
              <w:t>kgce/t；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6548120" cy="1532255"/>
                  <wp:effectExtent l="0" t="0" r="5080" b="444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8120" cy="15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由上图可知，轧钢工序单位产品能耗逐渐走低，控制较好；</w:t>
            </w:r>
          </w:p>
        </w:tc>
        <w:tc>
          <w:tcPr>
            <w:tcW w:w="835" w:type="dxa"/>
            <w:vAlign w:val="top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60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不符合及纠正措施</w:t>
            </w: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En10.1</w:t>
            </w:r>
          </w:p>
        </w:tc>
        <w:tc>
          <w:tcPr>
            <w:tcW w:w="10754" w:type="dxa"/>
            <w:vAlign w:val="top"/>
          </w:tcPr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编制了《不符合和纠正措施报告》包括“不符合采取措施控制并纠正；任何纠正措施的结果、不符合的原因 性质和采取的任何后续措施；确定是否存在或是否可能发生类似的不符合；实施任何所需的措施；评审所采取的任何纠正措施的有效性；必要时，对能源管理体系进行变更改”等内容；</w:t>
            </w:r>
          </w:p>
          <w:p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本次内审无不符合项 ；</w:t>
            </w:r>
          </w:p>
        </w:tc>
        <w:tc>
          <w:tcPr>
            <w:tcW w:w="835" w:type="dxa"/>
            <w:vAlign w:val="top"/>
          </w:tcPr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 xml:space="preserve">  y</w:t>
            </w:r>
          </w:p>
        </w:tc>
      </w:tr>
    </w:tbl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spacing w:line="480" w:lineRule="exact"/>
        <w:jc w:val="center"/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pStyle w:val="9"/>
      </w:pPr>
    </w:p>
    <w:tbl>
      <w:tblPr>
        <w:tblStyle w:val="1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54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54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受审核部门：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生产部（炼钢车间）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主管领导：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陈纪东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陪同人员：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王沛 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5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审核员：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周涛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、杨冰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5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审核条款：5.3 组织的岗位、职责和权限、6.2 目标、能源指及其实现的策划、8.1 运行的策划和控制、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9.1.1监视、测量、分析、评价、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10.1 不符合与纠正措施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 w:ascii="宋体" w:hAnsi="宋体"/>
                <w:szCs w:val="21"/>
              </w:rPr>
              <w:t>5.3 组织的岗位、职责和权限、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En5.3</w:t>
            </w:r>
          </w:p>
        </w:tc>
        <w:tc>
          <w:tcPr>
            <w:tcW w:w="10754" w:type="dxa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炼钢车间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职责：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1、负责钢坯的冶炼工作；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合理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生产调度，努力降低能源消耗和损失，提高能源利用率。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负责提供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能源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基础设施和工作环境。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负责能源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体系要求的设备正常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运行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做好生产过程的能源控制和对能源过程能力的确认。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4、能源数据的收集整理上报等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统计工作。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5、参与能源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应急预案的编制和落实工作。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经现场查询相关人员，都明确各自的职责。</w:t>
            </w:r>
          </w:p>
        </w:tc>
        <w:tc>
          <w:tcPr>
            <w:tcW w:w="835" w:type="dxa"/>
          </w:tcPr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60" w:type="dxa"/>
          </w:tcPr>
          <w:p>
            <w:r>
              <w:rPr>
                <w:rFonts w:hint="eastAsia" w:ascii="宋体" w:hAnsi="宋体"/>
                <w:szCs w:val="21"/>
              </w:rPr>
              <w:t>6.2 目标、能源指及其实现的策划、</w:t>
            </w:r>
          </w:p>
        </w:tc>
        <w:tc>
          <w:tcPr>
            <w:tcW w:w="960" w:type="dxa"/>
          </w:tcPr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En6.2</w:t>
            </w:r>
          </w:p>
        </w:tc>
        <w:tc>
          <w:tcPr>
            <w:tcW w:w="10754" w:type="dxa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炼钢车间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年的能源目标为：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炼钢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单位产品综合能耗：≦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66.788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kgce/t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抽查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炼钢车间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年目标完成情况：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炼钢车间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单位产品综合能耗为：</w:t>
            </w: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70.299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kgce/t</w:t>
            </w:r>
          </w:p>
          <w:p>
            <w:pPr>
              <w:pStyle w:val="25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2021年没有完成目标；</w:t>
            </w:r>
          </w:p>
          <w:p>
            <w:pPr>
              <w:pStyle w:val="25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抽查炼钢车间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1-8月份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目标完成情况：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2022年能源目标为70.299kgce/t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炼钢车间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1-8月份实际完成：单位产品综合能耗为</w:t>
            </w: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63.985kgce/t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实际能耗小于目标，完成当年的能耗目标。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查节能管理方案：没有提供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炼钢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的节能方案（沟通交流）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35" w:type="dxa"/>
          </w:tcPr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60" w:type="dxa"/>
          </w:tcPr>
          <w:p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8.1 运行的策划和控制、</w:t>
            </w:r>
          </w:p>
        </w:tc>
        <w:tc>
          <w:tcPr>
            <w:tcW w:w="960" w:type="dxa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En8.1</w:t>
            </w:r>
          </w:p>
        </w:tc>
        <w:tc>
          <w:tcPr>
            <w:tcW w:w="1075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编制了《能源管理制度》、《生产设备操作规程》包括“炼钢操作规程”等；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现场审核炼钢生产及运输情况：冶炼车间</w:t>
            </w:r>
            <w:r>
              <w:rPr>
                <w:rFonts w:hint="default"/>
                <w:lang w:val="en-US"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炼钢工艺流程：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5864860" cy="1466850"/>
                  <wp:effectExtent l="0" t="0" r="2540" b="0"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486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1、抽查</w:t>
            </w:r>
            <w:r>
              <w:rPr>
                <w:rFonts w:hint="default"/>
                <w:lang w:val="en-US" w:eastAsia="zh-CN"/>
              </w:rPr>
              <w:t>《空压机操作规程》、</w:t>
            </w:r>
            <w:r>
              <w:rPr>
                <w:rFonts w:hint="eastAsia"/>
                <w:lang w:val="en-US" w:eastAsia="zh-CN"/>
              </w:rPr>
              <w:t>《卡车司机运输管理办法》、《</w:t>
            </w:r>
            <w:r>
              <w:rPr>
                <w:rFonts w:hint="default"/>
                <w:lang w:val="en-US" w:eastAsia="zh-CN"/>
              </w:rPr>
              <w:t>挖掘</w:t>
            </w:r>
            <w:r>
              <w:rPr>
                <w:rFonts w:hint="eastAsia"/>
                <w:lang w:val="en-US" w:eastAsia="zh-CN"/>
              </w:rPr>
              <w:t>岗位操作规程》《提升机岗位规程》；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2、公司能够将各操作规程让每一位操作者熟悉和掌握，并在醒目的地方悬挂操作规程；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在提升机操作室抽查运行日志（2021年3月28日），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提升机运行7.0小时，负荷提升87趟，提升矿量1575.20吨，其中，早班运行4.5小时，负荷提升56趟，提升矿量1021.50吨，中班运行2.5小时，负荷提升31趟，提升矿量553.7吨。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操作者能够按照操作规程进行操作，并进行记录；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再抽《设备运行记录表》如下图：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4、炼钢车间计划内没有变更；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5、经询查，炼钢车间没有外包；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6、各种能源计量设备的校检情况：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炼钢车间使用的电力由当地电网负责，柴油由加油站负责：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电机使用情况及淘汰计划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经与国家发布的《产业结构调整指导目录》(2013年修正) 、《部分工业行业淘汰落后生产工艺装备和产品指导目录》和《高耗能落后机电设备（产品）淘汰目录（第一批）、（第二批）、（第三批）》进行对照，发现有淘汰的落后设备和工艺。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具体淘汰的工艺和设备参见：《石人沟铁矿落后机电设备及工艺淘汰明细表》。没有国家强制淘汰设备。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主要耗能设备完好情况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主要用电设备是电炉、连铸机、精炼炉、除尘风机、电机、空压机等，公司有</w:t>
            </w:r>
            <w:bookmarkStart w:id="1" w:name="_GoBack"/>
            <w:r>
              <w:rPr>
                <w:rFonts w:hint="eastAsia"/>
                <w:b/>
                <w:bCs/>
                <w:lang w:val="en-US" w:eastAsia="zh-CN"/>
              </w:rPr>
              <w:t>配电室</w:t>
            </w:r>
            <w:bookmarkEnd w:id="1"/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是否发生设备故障引起停产：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未发生 □已发生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提供“配电室管理规定”，有“配电室运行检查记录单”，记录单中有：检查日期、运行情况、检查人等，查2022.7月检查记录，经查符合要求。</w:t>
            </w:r>
          </w:p>
        </w:tc>
        <w:tc>
          <w:tcPr>
            <w:tcW w:w="835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监视测量、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En9.1.1</w:t>
            </w:r>
          </w:p>
        </w:tc>
        <w:tc>
          <w:tcPr>
            <w:tcW w:w="10754" w:type="dxa"/>
            <w:vAlign w:val="top"/>
          </w:tcPr>
          <w:p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近三年单位产品能耗波动情况：</w:t>
            </w:r>
          </w:p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炼钢工序单位产品能耗趋势图：</w:t>
            </w:r>
          </w:p>
          <w:p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6632575" cy="2418715"/>
                  <wp:effectExtent l="4445" t="4445" r="5080" b="15240"/>
                  <wp:docPr id="15" name="图表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由上图可知，2021年单位产品能耗有些升高，2022年逐步走低，控制良好；</w:t>
            </w:r>
          </w:p>
        </w:tc>
        <w:tc>
          <w:tcPr>
            <w:tcW w:w="835" w:type="dxa"/>
            <w:vAlign w:val="top"/>
          </w:tcPr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不符合及纠正措施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En10.1</w:t>
            </w:r>
          </w:p>
        </w:tc>
        <w:tc>
          <w:tcPr>
            <w:tcW w:w="10754" w:type="dxa"/>
            <w:vAlign w:val="top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编制了《不符合和纠正措施报告》包括“不符合采取措施控制并纠正；任何纠正措施的结果、不符合的原因 性质和采取的任何后续措施；确定是否存在或是否可能发生类似的不符合；实施任何所需的措施；评审所采取的任何纠正措施的有效性；必要时，对能源管理体系进行变更改”等内容；</w:t>
            </w:r>
          </w:p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本次内审无不符合项 ；</w:t>
            </w:r>
          </w:p>
        </w:tc>
        <w:tc>
          <w:tcPr>
            <w:tcW w:w="835" w:type="dxa"/>
            <w:vAlign w:val="top"/>
          </w:tcPr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 xml:space="preserve">  y</w:t>
            </w:r>
          </w:p>
        </w:tc>
      </w:tr>
    </w:tbl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21"/>
        <w:rFonts w:hint="default"/>
      </w:rPr>
      <w:t>北京国标联合认证有限公司</w:t>
    </w:r>
    <w:r>
      <w:rPr>
        <w:rStyle w:val="21"/>
        <w:rFonts w:hint="default"/>
      </w:rPr>
      <w:tab/>
    </w:r>
    <w:r>
      <w:rPr>
        <w:rStyle w:val="21"/>
        <w:rFonts w:hint="default"/>
      </w:rPr>
      <w:tab/>
    </w:r>
    <w:r>
      <w:rPr>
        <w:rStyle w:val="21"/>
        <w:rFonts w:hint="default"/>
      </w:rPr>
      <w:tab/>
    </w:r>
  </w:p>
  <w:p>
    <w:pPr>
      <w:pStyle w:val="10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21"/>
        <w:rFonts w:hint="default"/>
        <w:w w:val="90"/>
      </w:rPr>
      <w:t>Beijing International Standard united Certification Co.,Ltd.</w:t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F5D95"/>
    <w:multiLevelType w:val="singleLevel"/>
    <w:tmpl w:val="FA9F5D95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japaneseCounting"/>
      <w:pStyle w:val="22"/>
      <w:suff w:val="nothing"/>
      <w:lvlText w:val="%1、"/>
      <w:lvlJc w:val="left"/>
      <w:pPr>
        <w:ind w:left="0" w:firstLine="0"/>
      </w:pPr>
      <w:rPr>
        <w:rFonts w:ascii="宋体" w:hAnsi="宋体" w:eastAsia="宋体" w:cs="Times New Roman"/>
        <w:b w:val="0"/>
        <w:i w:val="0"/>
        <w:sz w:val="28"/>
        <w:szCs w:val="28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3506E0BA"/>
    <w:multiLevelType w:val="singleLevel"/>
    <w:tmpl w:val="3506E0BA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OGY5MzIwYjM5OWFmZGI4MTBhODVhYjUzMzlkOTUifQ=="/>
  </w:docVars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536930"/>
    <w:rsid w:val="00564E53"/>
    <w:rsid w:val="005D5659"/>
    <w:rsid w:val="00600C20"/>
    <w:rsid w:val="00644FE2"/>
    <w:rsid w:val="0067640C"/>
    <w:rsid w:val="006E678B"/>
    <w:rsid w:val="007757F3"/>
    <w:rsid w:val="007C1B48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4C1EED"/>
    <w:rsid w:val="0576170F"/>
    <w:rsid w:val="108219C2"/>
    <w:rsid w:val="17FB3BBE"/>
    <w:rsid w:val="18B0348F"/>
    <w:rsid w:val="1D5C5E94"/>
    <w:rsid w:val="1E0537DC"/>
    <w:rsid w:val="1E92443A"/>
    <w:rsid w:val="1F303612"/>
    <w:rsid w:val="203A7DFA"/>
    <w:rsid w:val="22CF65FF"/>
    <w:rsid w:val="232B292E"/>
    <w:rsid w:val="25726879"/>
    <w:rsid w:val="259547E4"/>
    <w:rsid w:val="265042EE"/>
    <w:rsid w:val="29550A82"/>
    <w:rsid w:val="2ADD033E"/>
    <w:rsid w:val="2CC56303"/>
    <w:rsid w:val="2ED64AF9"/>
    <w:rsid w:val="32BC46AF"/>
    <w:rsid w:val="37022033"/>
    <w:rsid w:val="3C6B5530"/>
    <w:rsid w:val="3DEB530A"/>
    <w:rsid w:val="3EAA0C2F"/>
    <w:rsid w:val="3FD87230"/>
    <w:rsid w:val="400168D5"/>
    <w:rsid w:val="41BE4BFD"/>
    <w:rsid w:val="42FA3EBB"/>
    <w:rsid w:val="457B52B9"/>
    <w:rsid w:val="49907112"/>
    <w:rsid w:val="4BDA2851"/>
    <w:rsid w:val="4E754F0D"/>
    <w:rsid w:val="4EB06CE3"/>
    <w:rsid w:val="5062731F"/>
    <w:rsid w:val="51B355DC"/>
    <w:rsid w:val="51CB0431"/>
    <w:rsid w:val="52407F77"/>
    <w:rsid w:val="56955064"/>
    <w:rsid w:val="56BF4ADF"/>
    <w:rsid w:val="56ED7099"/>
    <w:rsid w:val="570619C1"/>
    <w:rsid w:val="58F45158"/>
    <w:rsid w:val="5AEB2456"/>
    <w:rsid w:val="5EA12B9A"/>
    <w:rsid w:val="60A703C5"/>
    <w:rsid w:val="619A01E9"/>
    <w:rsid w:val="6A997D30"/>
    <w:rsid w:val="6AF45AAC"/>
    <w:rsid w:val="6B317C7C"/>
    <w:rsid w:val="6C3312C7"/>
    <w:rsid w:val="72F0497F"/>
    <w:rsid w:val="74B932C8"/>
    <w:rsid w:val="75532C29"/>
    <w:rsid w:val="788C0C63"/>
    <w:rsid w:val="7AEC0F33"/>
    <w:rsid w:val="7CDA12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outlineLvl w:val="0"/>
    </w:pPr>
    <w:rPr>
      <w:b/>
      <w:sz w:val="28"/>
      <w:szCs w:val="20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字符"/>
    <w:basedOn w:val="16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2">
    <w:name w:val="章标题"/>
    <w:next w:val="1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g"/>
    <w:basedOn w:val="16"/>
    <w:qFormat/>
    <w:uiPriority w:val="0"/>
  </w:style>
  <w:style w:type="paragraph" w:customStyle="1" w:styleId="2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chart" Target="charts/chart2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chart" Target="charts/chart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&#23457;&#26680;&#36164;&#26009;\&#33021;&#28304;\&#22269;&#26631;&#32852;&#21512;\2022\&#27777;&#38451;&#24066;&#23439;&#36798;&#38050;&#38081;&#26377;&#38480;&#20844;&#21496;\2021&#24180;-2022&#24180;&#65289;&#33021;&#28304;&#25968;&#25454;&#32479;&#35745;&#26680;&#31639;&#26126;&#32454;&#34920;.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3457;&#26680;&#36164;&#26009;\&#33021;&#28304;\&#22269;&#26631;&#32852;&#21512;\2022\&#27777;&#38451;&#24066;&#23439;&#36798;&#38050;&#38081;&#26377;&#38480;&#20844;&#21496;\2021&#24180;-2022&#24180;&#65289;&#33021;&#28304;&#25968;&#25454;&#32479;&#35745;&#26680;&#31639;&#26126;&#32454;&#34920;.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轧钢单位产品能耗趋势图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'[2021年-2022年）能源数据统计核算明细表.1.xlsx]公司用能汇总表'!$Q$36</c:f>
              <c:strCache>
                <c:ptCount val="1"/>
                <c:pt idx="0">
                  <c:v>单位产品能耗</c:v>
                </c:pt>
              </c:strCache>
            </c:strRef>
          </c:tx>
          <c:spPr>
            <a:ln w="28575" cap="rnd">
              <a:solidFill>
                <a:srgbClr val="4F81BD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'[2021年-2022年）能源数据统计核算明细表.1.xlsx]公司用能汇总表'!$P$37:$P$39</c:f>
              <c:strCache>
                <c:ptCount val="3"/>
                <c:pt idx="0">
                  <c:v>2020年</c:v>
                </c:pt>
                <c:pt idx="1">
                  <c:v>2021年</c:v>
                </c:pt>
                <c:pt idx="2">
                  <c:v>2022年1-8月</c:v>
                </c:pt>
              </c:strCache>
            </c:strRef>
          </c:cat>
          <c:val>
            <c:numRef>
              <c:f>'[2021年-2022年）能源数据统计核算明细表.1.xlsx]公司用能汇总表'!$Q$37:$Q$39</c:f>
              <c:numCache>
                <c:formatCode>General</c:formatCode>
                <c:ptCount val="3"/>
                <c:pt idx="0">
                  <c:v>39.546</c:v>
                </c:pt>
                <c:pt idx="1">
                  <c:v>29.617</c:v>
                </c:pt>
                <c:pt idx="2">
                  <c:v>25.775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'[2021年-2022年）能源数据统计核算明细表.1.xlsx]公司用能汇总表'!$R$36</c:f>
              <c:strCache>
                <c:ptCount val="1"/>
                <c:pt idx="0">
                  <c:v>限额</c:v>
                </c:pt>
              </c:strCache>
            </c:strRef>
          </c:tx>
          <c:spPr>
            <a:ln w="28575" cap="rnd">
              <a:solidFill>
                <a:srgbClr val="C0504D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'[2021年-2022年）能源数据统计核算明细表.1.xlsx]公司用能汇总表'!$P$37:$P$39</c:f>
              <c:strCache>
                <c:ptCount val="3"/>
                <c:pt idx="0">
                  <c:v>2020年</c:v>
                </c:pt>
                <c:pt idx="1">
                  <c:v>2021年</c:v>
                </c:pt>
                <c:pt idx="2">
                  <c:v>2022年1-8月</c:v>
                </c:pt>
              </c:strCache>
            </c:strRef>
          </c:cat>
          <c:val>
            <c:numRef>
              <c:f>'[2021年-2022年）能源数据统计核算明细表.1.xlsx]公司用能汇总表'!$R$37:$R$39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914764856"/>
        <c:axId val="451461602"/>
      </c:lineChart>
      <c:catAx>
        <c:axId val="91476485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595959">
                        <a:lumMod val="65000"/>
                        <a:lumOff val="3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年份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rgbClr val="D9D9D9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451461602"/>
        <c:crosses val="autoZero"/>
        <c:auto val="1"/>
        <c:lblAlgn val="ctr"/>
        <c:lblOffset val="100"/>
        <c:noMultiLvlLbl val="0"/>
      </c:catAx>
      <c:valAx>
        <c:axId val="45146160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>
                  <a:lumMod val="15000"/>
                  <a:lumOff val="85000"/>
                </a:srgbClr>
              </a:solidFill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595959">
                        <a:lumMod val="65000"/>
                        <a:lumOff val="3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单位产品能耗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914764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钢坯</a:t>
            </a:r>
            <a:r>
              <a:rPr lang="en-US" altLang="zh-CN"/>
              <a:t>-</a:t>
            </a:r>
            <a:r>
              <a:rPr altLang="en-US"/>
              <a:t>单位产品能耗趋势图</a:t>
            </a:r>
            <a:endParaRPr lang="en-US" altLang="zh-CN"/>
          </a:p>
        </c:rich>
      </c:tx>
      <c:layout>
        <c:manualLayout>
          <c:xMode val="edge"/>
          <c:yMode val="edge"/>
          <c:x val="0.414444444444444"/>
          <c:y val="0.02546296296296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'[2021年-2022年）能源数据统计核算明细表.1.xlsx]公司用能汇总表'!$E$36</c:f>
              <c:strCache>
                <c:ptCount val="1"/>
                <c:pt idx="0">
                  <c:v>单位产品能耗</c:v>
                </c:pt>
              </c:strCache>
            </c:strRef>
          </c:tx>
          <c:spPr>
            <a:ln w="28575" cap="rnd">
              <a:solidFill>
                <a:srgbClr val="4F81BD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'[2021年-2022年）能源数据统计核算明细表.1.xlsx]公司用能汇总表'!$D$37:$D$39</c:f>
              <c:strCache>
                <c:ptCount val="3"/>
                <c:pt idx="0">
                  <c:v>2020年</c:v>
                </c:pt>
                <c:pt idx="1">
                  <c:v>2021年</c:v>
                </c:pt>
                <c:pt idx="2">
                  <c:v>2022年1-8月</c:v>
                </c:pt>
              </c:strCache>
            </c:strRef>
          </c:cat>
          <c:val>
            <c:numRef>
              <c:f>'[2021年-2022年）能源数据统计核算明细表.1.xlsx]公司用能汇总表'!$E$37:$E$39</c:f>
              <c:numCache>
                <c:formatCode>General</c:formatCode>
                <c:ptCount val="3"/>
                <c:pt idx="0">
                  <c:v>66.788</c:v>
                </c:pt>
                <c:pt idx="1">
                  <c:v>70.299</c:v>
                </c:pt>
                <c:pt idx="2">
                  <c:v>63.985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'[2021年-2022年）能源数据统计核算明细表.1.xlsx]公司用能汇总表'!$F$36</c:f>
              <c:strCache>
                <c:ptCount val="1"/>
                <c:pt idx="0">
                  <c:v>限额</c:v>
                </c:pt>
              </c:strCache>
            </c:strRef>
          </c:tx>
          <c:spPr>
            <a:ln w="28575" cap="rnd">
              <a:solidFill>
                <a:srgbClr val="C0504D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'[2021年-2022年）能源数据统计核算明细表.1.xlsx]公司用能汇总表'!$D$37:$D$39</c:f>
              <c:strCache>
                <c:ptCount val="3"/>
                <c:pt idx="0">
                  <c:v>2020年</c:v>
                </c:pt>
                <c:pt idx="1">
                  <c:v>2021年</c:v>
                </c:pt>
                <c:pt idx="2">
                  <c:v>2022年1-8月</c:v>
                </c:pt>
              </c:strCache>
            </c:strRef>
          </c:cat>
          <c:val>
            <c:numRef>
              <c:f>'[2021年-2022年）能源数据统计核算明细表.1.xlsx]公司用能汇总表'!$F$37:$F$39</c:f>
              <c:numCache>
                <c:formatCode>General</c:formatCode>
                <c:ptCount val="3"/>
                <c:pt idx="0">
                  <c:v>86</c:v>
                </c:pt>
                <c:pt idx="1">
                  <c:v>86</c:v>
                </c:pt>
                <c:pt idx="2">
                  <c:v>86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852506312"/>
        <c:axId val="923450434"/>
      </c:lineChart>
      <c:catAx>
        <c:axId val="85250631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595959">
                        <a:lumMod val="65000"/>
                        <a:lumOff val="3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年份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rgbClr val="D9D9D9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923450434"/>
        <c:crosses val="autoZero"/>
        <c:auto val="1"/>
        <c:lblAlgn val="ctr"/>
        <c:lblOffset val="100"/>
        <c:noMultiLvlLbl val="0"/>
      </c:catAx>
      <c:valAx>
        <c:axId val="92345043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>
                  <a:lumMod val="15000"/>
                  <a:lumOff val="85000"/>
                </a:srgbClr>
              </a:solidFill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595959">
                        <a:lumMod val="65000"/>
                        <a:lumOff val="3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单位产品能耗</a:t>
                </a:r>
              </a:p>
            </c:rich>
          </c:tx>
          <c:layout>
            <c:manualLayout>
              <c:xMode val="edge"/>
              <c:yMode val="edge"/>
              <c:x val="0.0319444444444444"/>
              <c:y val="0.30097222222222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85250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10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solidFill>
        <a:srgbClr val="FFFFFF"/>
      </a:solidFill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solidFill>
        <a:srgbClr val="FFFFFF"/>
      </a:solidFill>
    </cs:spPr>
  </cs:dataPoint3D>
  <cs:dataPointLine>
    <cs:lnRef idx="0">
      <cs:styleClr val="auto"/>
    </cs:lnRef>
    <cs:fillRef idx="1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solidFill>
        <a:srgbClr val="FFFFFF"/>
      </a:solidFill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595959">
          <a:lumMod val="65000"/>
          <a:lumOff val="35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404040">
            <a:lumMod val="75000"/>
            <a:lumOff val="25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>
        <a:solidFill>
          <a:srgbClr val="D9D9D9">
            <a:lumMod val="15000"/>
            <a:lumOff val="85000"/>
          </a:srgbClr>
        </a:solidFill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10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solidFill>
        <a:srgbClr val="FFFFFF"/>
      </a:solidFill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solidFill>
        <a:srgbClr val="FFFFFF"/>
      </a:solidFill>
    </cs:spPr>
  </cs:dataPoint3D>
  <cs:dataPointLine>
    <cs:lnRef idx="0">
      <cs:styleClr val="auto"/>
    </cs:lnRef>
    <cs:fillRef idx="1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solidFill>
        <a:srgbClr val="FFFFFF"/>
      </a:solidFill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595959">
          <a:lumMod val="65000"/>
          <a:lumOff val="35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404040">
            <a:lumMod val="75000"/>
            <a:lumOff val="25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>
        <a:solidFill>
          <a:srgbClr val="D9D9D9">
            <a:lumMod val="15000"/>
            <a:lumOff val="85000"/>
          </a:srgbClr>
        </a:solidFill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5084</Words>
  <Characters>5771</Characters>
  <Lines>1</Lines>
  <Paragraphs>1</Paragraphs>
  <TotalTime>29</TotalTime>
  <ScaleCrop>false</ScaleCrop>
  <LinksUpToDate>false</LinksUpToDate>
  <CharactersWithSpaces>5934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2022-10-06T04:24:05Z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A2A87B4AA3C04090A0C757B97B7400CA</vt:lpwstr>
  </property>
</Properties>
</file>