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刘春生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相艳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2-10-09下午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与部门职责相关的主要职责是：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负责对外部供方的评价、选择、绩效监视并实施</w:t>
            </w:r>
            <w:r>
              <w:rPr>
                <w:rFonts w:hint="eastAsia"/>
                <w:szCs w:val="20"/>
                <w:lang w:val="en-US" w:eastAsia="zh-CN"/>
              </w:rPr>
              <w:t>外部供方管理</w:t>
            </w:r>
            <w:r>
              <w:rPr>
                <w:rFonts w:hint="eastAsia"/>
                <w:szCs w:val="20"/>
                <w:lang w:eastAsia="zh-CN"/>
              </w:rPr>
              <w:t>；</w:t>
            </w:r>
            <w:r>
              <w:rPr>
                <w:rFonts w:hint="eastAsia"/>
                <w:szCs w:val="20"/>
              </w:rPr>
              <w:t>负责</w:t>
            </w:r>
            <w:r>
              <w:rPr>
                <w:rFonts w:hint="eastAsia"/>
                <w:szCs w:val="20"/>
                <w:lang w:val="en-US" w:eastAsia="zh-CN"/>
              </w:rPr>
              <w:t>根据顾客的订单需求安排采购计划，负责采购过程中的索证、以及采购过程中不合格品的管理等工作，参加食品安全小组组织的各项活动等。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部门负责人表示审核周期内本部门职责权限未发生变化。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2021.07-2022.10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yellow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 xml:space="preserve">原材料采购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>产品的设计和开发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产品检测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某加工工序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部分产品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工装订制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设备维修  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运输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售后服务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不合格品处置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顾客满意调查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t xml:space="preserve">外部供方的初始评价和选择要求——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 xml:space="preserve">充分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 xml:space="preserve">不充分，说明： 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从组织提供的供方资料中随机抽查：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东光县宇丰塑业有限公司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6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911309235604597250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冀XK16-204-01218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（冀）印证字317020076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监督抽查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东质检(物)字(2022)第(0135)号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其他：——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产品名称：BOPET/PE复合膜袋，报告日期：2022-03-12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yellow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任丘市芝锦食品有限公司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熟白芝麻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91130982MA7AE8EKX9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SC10213098201227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（适用时）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产品检测报告,样品名称：熟芝麻，报告编号：No.HBKN(2022)0349,报告日期：2022-06-13，检测指标：黄曲霉毒素B1、酸价、过氧化值、沙门氏菌等，检测结论：合格；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注塑桶/塑料桶（内包材）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廊坊友邦塑业有限公司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烤花生仁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烟台欧果花生油股份有限公司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纸箱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天津世凯威包装有限公司   </w:t>
            </w:r>
            <w:r>
              <w:rPr>
                <w:rFonts w:hint="eastAsia"/>
                <w:highlight w:val="none"/>
              </w:rPr>
              <w:t xml:space="preserve"> 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84消毒液、75%酒精、免洗手消毒液，主要从正规超市购买；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任丘市芝锦食品有限公司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熟白芝麻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产品质量、设备水平和状况、测量系统、技术水平、人员素质和能力、信誉、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交付、守法意识、本行业中的地位、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以往业绩、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东光县宇丰塑业有限公司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产品质量、设备水平和状况、测量系统、技术水平、人员素质和能力、信誉、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交付、守法意识、本行业中的地位、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以往业绩、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烟台欧果花生油股份有限公司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烤花生仁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产品质量、设备水平和状况、测量系统、技术水平、人员素质和能力、信誉、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交付、守法意识、本行业中的地位、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以往业绩、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同时还抽查了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XX 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XX有限公司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t xml:space="preserve"> 与上述供方评价和选择控制情况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现场观察内包材库房：废弃芝麻酱与内包材混放情况。开具不符合项，见生产部审核记录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-22225</wp:posOffset>
          </wp:positionV>
          <wp:extent cx="481330" cy="484505"/>
          <wp:effectExtent l="0" t="0" r="4445" b="127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3B497D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960C63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AF41DA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8B4685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E90EC3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71575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EF17189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4638A5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40</TotalTime>
  <ScaleCrop>false</ScaleCrop>
  <LinksUpToDate>false</LinksUpToDate>
  <CharactersWithSpaces>6692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2022-10-31T13:38:54Z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BC59C387B88F404B9B7E1254A2BBB434</vt:lpwstr>
  </property>
</Properties>
</file>