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793"/>
        <w:gridCol w:w="890"/>
        <w:gridCol w:w="9"/>
        <w:gridCol w:w="7"/>
        <w:gridCol w:w="9246"/>
        <w:gridCol w:w="1568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52" w:type="dxa"/>
            <w:gridSpan w:val="4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郭鹏磊   </w:t>
            </w:r>
            <w:r>
              <w:rPr>
                <w:rFonts w:hint="eastAsia"/>
                <w:sz w:val="24"/>
                <w:szCs w:val="24"/>
              </w:rPr>
              <w:t xml:space="preserve">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刘建敏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793" w:type="dxa"/>
            <w:vMerge w:val="continue"/>
            <w:vAlign w:val="center"/>
          </w:tcPr>
          <w:p/>
        </w:tc>
        <w:tc>
          <w:tcPr>
            <w:tcW w:w="10152" w:type="dxa"/>
            <w:gridSpan w:val="4"/>
            <w:vAlign w:val="center"/>
          </w:tcPr>
          <w:p>
            <w:pPr>
              <w:spacing w:before="12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2022-10-10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793" w:type="dxa"/>
            <w:vMerge w:val="continue"/>
            <w:vAlign w:val="center"/>
          </w:tcPr>
          <w:p/>
        </w:tc>
        <w:tc>
          <w:tcPr>
            <w:tcW w:w="10152" w:type="dxa"/>
            <w:gridSpan w:val="4"/>
            <w:vAlign w:val="center"/>
          </w:tcPr>
          <w:p>
            <w:r>
              <w:rPr>
                <w:rFonts w:hint="eastAsia"/>
              </w:rPr>
              <w:t>审核条款：FSMS:5.3/6.2/7.1.3/7.1.4/8.2/8.3/8.4/8.5.4.5</w:t>
            </w:r>
            <w:r>
              <w:rPr>
                <w:rFonts w:hint="eastAsia"/>
                <w:szCs w:val="21"/>
              </w:rPr>
              <w:t>/8.9.5</w:t>
            </w:r>
          </w:p>
          <w:p>
            <w:pPr>
              <w:pStyle w:val="4"/>
            </w:pP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7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90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793" w:type="dxa"/>
            <w:vMerge w:val="continue"/>
            <w:shd w:val="clear" w:color="auto" w:fill="auto"/>
          </w:tcPr>
          <w:p/>
        </w:tc>
        <w:tc>
          <w:tcPr>
            <w:tcW w:w="90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6" w:type="dxa"/>
            <w:shd w:val="clear" w:color="auto" w:fill="auto"/>
          </w:tcPr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主要负责生产计划安排、生产过程的管控、基础设施和工作环境管理、设备维保、产品追溯、产品召回、危害控制计划的实施、纠偏等工作。</w:t>
            </w:r>
          </w:p>
          <w:p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询问相关负责人表示审核周期内本部门职责未发生变化。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793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90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食品安全目标考核结果统计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793" w:type="dxa"/>
            <w:vMerge w:val="continue"/>
            <w:shd w:val="clear" w:color="auto" w:fill="auto"/>
          </w:tcPr>
          <w:p/>
        </w:tc>
        <w:tc>
          <w:tcPr>
            <w:tcW w:w="90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6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  <w:lang w:val="en-US" w:eastAsia="zh-CN"/>
              </w:rPr>
              <w:t>本部门分解的</w:t>
            </w:r>
            <w:r>
              <w:rPr>
                <w:rFonts w:hint="eastAsia"/>
              </w:rPr>
              <w:t>食品安全目标实现情况的评价，及其测量方法是：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3"/>
              <w:gridCol w:w="960"/>
              <w:gridCol w:w="1360"/>
              <w:gridCol w:w="1440"/>
              <w:gridCol w:w="23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目标值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考核周期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责任部门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目标实际完成（202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1.07-2022.10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产品生产合格率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≥98%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每月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生产部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  <w:highlight w:val="none"/>
                      <w:lang w:val="en-GB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不发生重大质量安全事故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每年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生产部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产品出厂一次检验合格率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≥9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%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每月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生产部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3" w:type="dxa"/>
                  <w:shd w:val="clear" w:color="auto" w:fill="auto"/>
                  <w:vAlign w:val="center"/>
                </w:tcPr>
                <w:p>
                  <w:pPr>
                    <w:rPr>
                      <w:rFonts w:cs="Arial Unicode MS"/>
                      <w:color w:val="00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yellow"/>
                    </w:rPr>
                  </w:pP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yellow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yellow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</w:rPr>
              <w:t>目标已完成，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7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F7.1.3 </w:t>
            </w:r>
          </w:p>
          <w:p/>
        </w:tc>
        <w:tc>
          <w:tcPr>
            <w:tcW w:w="90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6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lang w:val="en-US" w:eastAsia="zh-CN"/>
              </w:rPr>
              <w:t>设备维修及保养规程</w:t>
            </w:r>
            <w:r>
              <w:rPr>
                <w:rFonts w:hint="eastAsia"/>
                <w:lang w:eastAsia="zh-CN"/>
              </w:rPr>
              <w:t>》</w:t>
            </w:r>
          </w:p>
          <w:p/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793" w:type="dxa"/>
            <w:vMerge w:val="continue"/>
            <w:shd w:val="clear" w:color="auto" w:fill="auto"/>
          </w:tcPr>
          <w:p/>
        </w:tc>
        <w:tc>
          <w:tcPr>
            <w:tcW w:w="90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6" w:type="dxa"/>
            <w:shd w:val="clear" w:color="auto" w:fill="auto"/>
          </w:tcPr>
          <w:p>
            <w:pPr>
              <w:ind w:left="1470" w:hanging="1470" w:hangingChars="700"/>
            </w:pP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特种设备（叉车）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</w:t>
            </w:r>
            <w:r>
              <w:rPr>
                <w:rFonts w:hint="eastAsia"/>
                <w:lang w:val="en-US" w:eastAsia="zh-CN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试验设备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</w:rPr>
              <w:t>查看对设备采购的控制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审核周期内未发生。</w:t>
            </w:r>
          </w:p>
          <w:tbl>
            <w:tblPr>
              <w:tblStyle w:val="9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查看对设备维保的控制；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提供有《生产设备清单》、《年度设备保养计划》、《</w:t>
            </w:r>
            <w:r>
              <w:rPr>
                <w:rFonts w:hint="eastAsia"/>
                <w:lang w:val="en-US" w:eastAsia="zh-CN"/>
              </w:rPr>
              <w:t>生产设备设施维护保养记录</w:t>
            </w:r>
            <w:r>
              <w:rPr>
                <w:rFonts w:hint="eastAsia"/>
              </w:rPr>
              <w:t>》，随机抽取：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2"/>
              <w:gridCol w:w="1295"/>
              <w:gridCol w:w="1214"/>
              <w:gridCol w:w="1062"/>
              <w:gridCol w:w="4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7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9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21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0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维保周期</w:t>
                  </w:r>
                </w:p>
              </w:tc>
              <w:tc>
                <w:tcPr>
                  <w:tcW w:w="41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7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29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储存槽</w:t>
                  </w:r>
                </w:p>
              </w:tc>
              <w:tc>
                <w:tcPr>
                  <w:tcW w:w="121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21-10-22</w:t>
                  </w:r>
                </w:p>
              </w:tc>
              <w:tc>
                <w:tcPr>
                  <w:tcW w:w="1062" w:type="dxa"/>
                </w:tcPr>
                <w:p>
                  <w:pPr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每年2次</w:t>
                  </w:r>
                </w:p>
              </w:tc>
              <w:tc>
                <w:tcPr>
                  <w:tcW w:w="413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设备检查、清理、加润滑油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7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295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自动包装机</w:t>
                  </w:r>
                </w:p>
              </w:tc>
              <w:tc>
                <w:tcPr>
                  <w:tcW w:w="121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1-10-23</w:t>
                  </w:r>
                </w:p>
              </w:tc>
              <w:tc>
                <w:tcPr>
                  <w:tcW w:w="1062" w:type="dxa"/>
                  <w:vAlign w:val="top"/>
                </w:tcPr>
                <w:p>
                  <w:pPr>
                    <w:rPr>
                      <w:rFonts w:hint="default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每年2次</w:t>
                  </w:r>
                </w:p>
              </w:tc>
              <w:tc>
                <w:tcPr>
                  <w:tcW w:w="41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设备检查、清理、加润滑油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7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295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磨盘</w:t>
                  </w:r>
                </w:p>
              </w:tc>
              <w:tc>
                <w:tcPr>
                  <w:tcW w:w="121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2022-03-20</w:t>
                  </w:r>
                </w:p>
              </w:tc>
              <w:tc>
                <w:tcPr>
                  <w:tcW w:w="1062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每年2次</w:t>
                  </w:r>
                </w:p>
              </w:tc>
              <w:tc>
                <w:tcPr>
                  <w:tcW w:w="413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电机、控制器检查等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27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29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62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41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cs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>2022年下半年的维保还未实施，下次审核关注。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查看对设备维修的控制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提供有《设备检修记录表》，随机抽取：</w:t>
            </w:r>
          </w:p>
          <w:tbl>
            <w:tblPr>
              <w:tblStyle w:val="9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89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设备检修记录表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石磨</w:t>
                  </w:r>
                </w:p>
              </w:tc>
              <w:tc>
                <w:tcPr>
                  <w:tcW w:w="117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2022.10.04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不磨酱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设备检修记录表</w:t>
                  </w:r>
                </w:p>
              </w:tc>
              <w:tc>
                <w:tcPr>
                  <w:tcW w:w="17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石磨</w:t>
                  </w:r>
                </w:p>
              </w:tc>
              <w:tc>
                <w:tcPr>
                  <w:tcW w:w="11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2022.04.03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不磨酱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174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/>
          <w:p>
            <w:pPr>
              <w:pStyle w:val="4"/>
            </w:pPr>
          </w:p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>
            <w:pPr>
              <w:pStyle w:val="11"/>
            </w:pPr>
          </w:p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9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3"/>
              <w:gridCol w:w="1410"/>
              <w:gridCol w:w="1997"/>
              <w:gridCol w:w="1516"/>
              <w:gridCol w:w="1557"/>
              <w:gridCol w:w="14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7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516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4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4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997" w:type="dxa"/>
                </w:tcPr>
                <w:p/>
              </w:tc>
              <w:tc>
                <w:tcPr>
                  <w:tcW w:w="1516" w:type="dxa"/>
                  <w:vAlign w:val="top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57" w:type="dxa"/>
                  <w:vAlign w:val="top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3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4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997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516" w:type="dxa"/>
                  <w:vAlign w:val="top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57" w:type="dxa"/>
                  <w:vAlign w:val="top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  <w:vAlign w:val="top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410" w:type="dxa"/>
                </w:tcPr>
                <w:p/>
              </w:tc>
              <w:tc>
                <w:tcPr>
                  <w:tcW w:w="1997" w:type="dxa"/>
                </w:tcPr>
                <w:p/>
              </w:tc>
              <w:tc>
                <w:tcPr>
                  <w:tcW w:w="1516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410" w:type="dxa"/>
                </w:tcPr>
                <w:p/>
              </w:tc>
              <w:tc>
                <w:tcPr>
                  <w:tcW w:w="1997" w:type="dxa"/>
                </w:tcPr>
                <w:p/>
              </w:tc>
              <w:tc>
                <w:tcPr>
                  <w:tcW w:w="1516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410" w:type="dxa"/>
                </w:tcPr>
                <w:p/>
              </w:tc>
              <w:tc>
                <w:tcPr>
                  <w:tcW w:w="1997" w:type="dxa"/>
                </w:tcPr>
                <w:p/>
              </w:tc>
              <w:tc>
                <w:tcPr>
                  <w:tcW w:w="1516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98" w:hRule="atLeast"/>
              </w:trPr>
              <w:tc>
                <w:tcPr>
                  <w:tcW w:w="1083" w:type="dxa"/>
                </w:tcPr>
                <w:p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410" w:type="dxa"/>
                </w:tcPr>
                <w:p/>
              </w:tc>
              <w:tc>
                <w:tcPr>
                  <w:tcW w:w="1997" w:type="dxa"/>
                </w:tcPr>
                <w:p/>
              </w:tc>
              <w:tc>
                <w:tcPr>
                  <w:tcW w:w="1516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</w:tbl>
          <w:p/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不涉及特种设备维保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8"/>
              <w:gridCol w:w="1559"/>
              <w:gridCol w:w="1701"/>
              <w:gridCol w:w="1701"/>
              <w:gridCol w:w="1984"/>
              <w:gridCol w:w="9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7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b/>
                      <w:strike/>
                      <w:dstrike w:val="0"/>
                      <w:highlight w:val="none"/>
                    </w:rPr>
                    <w:t>特种设备维护保养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647" w:type="dxa"/>
                  <w:gridSpan w:val="2"/>
                  <w:vMerge w:val="restart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自检</w:t>
                  </w:r>
                </w:p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维保计划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strike/>
                      <w:dstrike w:val="0"/>
                      <w:highlight w:val="none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无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94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647" w:type="dxa"/>
                  <w:gridSpan w:val="2"/>
                  <w:vMerge w:val="continue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维保日期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  <w:highlight w:val="none"/>
                    </w:rPr>
                    <w:t>维修内容</w:t>
                  </w:r>
                </w:p>
              </w:tc>
              <w:tc>
                <w:tcPr>
                  <w:tcW w:w="94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  <w:highlight w:val="none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647" w:type="dxa"/>
                  <w:gridSpan w:val="2"/>
                  <w:vMerge w:val="continue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维保记录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 w:eastAsia="宋体"/>
                      <w:strike/>
                      <w:dstrike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94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647" w:type="dxa"/>
                  <w:gridSpan w:val="2"/>
                  <w:vMerge w:val="continue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维保记录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94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7" w:type="dxa"/>
                  <w:gridSpan w:val="2"/>
                  <w:vMerge w:val="restart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外包（电梯）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供方名称：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维保合同期限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 w:ascii="Calibri" w:hAnsi="Calibri"/>
                      <w:strike/>
                      <w:dstrike w:val="0"/>
                      <w:highlight w:val="none"/>
                    </w:rPr>
                    <w:t>相关资质证书</w:t>
                  </w:r>
                </w:p>
              </w:tc>
              <w:tc>
                <w:tcPr>
                  <w:tcW w:w="94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7" w:type="dxa"/>
                  <w:gridSpan w:val="2"/>
                  <w:vMerge w:val="continue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 w:eastAsia="宋体"/>
                      <w:strike/>
                      <w:dstrike w:val="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——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944" w:type="dxa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7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b/>
                      <w:strike/>
                      <w:dstrike w:val="0"/>
                      <w:highlight w:val="none"/>
                    </w:rPr>
                    <w:t>特种设备日常点检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  <w:dstrike w:val="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8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抽查设备</w:t>
                  </w:r>
                </w:p>
              </w:tc>
              <w:tc>
                <w:tcPr>
                  <w:tcW w:w="1559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编号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抽查点检记录的月份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现场查看设备的完好情况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结论</w:t>
                  </w:r>
                </w:p>
              </w:tc>
              <w:tc>
                <w:tcPr>
                  <w:tcW w:w="944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8" w:type="dxa"/>
                </w:tcPr>
                <w:p>
                  <w:pPr>
                    <w:rPr>
                      <w:rFonts w:hint="eastAsia"/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叉车</w:t>
                  </w:r>
                </w:p>
              </w:tc>
              <w:tc>
                <w:tcPr>
                  <w:tcW w:w="1559" w:type="dxa"/>
                </w:tcPr>
                <w:p>
                  <w:pPr>
                    <w:rPr>
                      <w:rFonts w:hint="eastAsia" w:eastAsia="宋体"/>
                      <w:strike/>
                      <w:dstrike w:val="0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ind w:firstLine="420" w:firstLineChars="200"/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年  月  日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  <w:highlight w:val="none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  <w:highlight w:val="none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不完好</w:t>
                  </w:r>
                </w:p>
              </w:tc>
              <w:tc>
                <w:tcPr>
                  <w:tcW w:w="944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8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压力容器</w:t>
                  </w:r>
                </w:p>
              </w:tc>
              <w:tc>
                <w:tcPr>
                  <w:tcW w:w="1559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——</w:t>
                  </w:r>
                </w:p>
              </w:tc>
              <w:tc>
                <w:tcPr>
                  <w:tcW w:w="1701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年  月  日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  <w:highlight w:val="none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  <w:highlight w:val="none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不完好</w:t>
                  </w:r>
                </w:p>
              </w:tc>
              <w:tc>
                <w:tcPr>
                  <w:tcW w:w="944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8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锅炉</w:t>
                  </w:r>
                </w:p>
              </w:tc>
              <w:tc>
                <w:tcPr>
                  <w:tcW w:w="1559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——</w:t>
                  </w:r>
                </w:p>
              </w:tc>
              <w:tc>
                <w:tcPr>
                  <w:tcW w:w="1701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年  月  日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  <w:highlight w:val="none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  <w:highlight w:val="none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不完好</w:t>
                  </w:r>
                </w:p>
              </w:tc>
              <w:tc>
                <w:tcPr>
                  <w:tcW w:w="944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8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压力管道</w:t>
                  </w:r>
                </w:p>
              </w:tc>
              <w:tc>
                <w:tcPr>
                  <w:tcW w:w="1559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——</w:t>
                  </w:r>
                </w:p>
              </w:tc>
              <w:tc>
                <w:tcPr>
                  <w:tcW w:w="1701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年  月  日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  <w:highlight w:val="none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  <w:highlight w:val="none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不完好</w:t>
                  </w:r>
                </w:p>
              </w:tc>
              <w:tc>
                <w:tcPr>
                  <w:tcW w:w="944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8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电梯</w:t>
                  </w:r>
                </w:p>
              </w:tc>
              <w:tc>
                <w:tcPr>
                  <w:tcW w:w="1559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——</w:t>
                  </w:r>
                </w:p>
              </w:tc>
              <w:tc>
                <w:tcPr>
                  <w:tcW w:w="1701" w:type="dxa"/>
                </w:tcPr>
                <w:p>
                  <w:pPr>
                    <w:ind w:firstLine="420" w:firstLineChars="200"/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年  月  日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  <w:r>
                    <w:rPr>
                      <w:rFonts w:ascii="Calibri" w:hAnsi="Calibri"/>
                      <w:strike/>
                      <w:dstrike w:val="0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strike/>
                      <w:dstrike w:val="0"/>
                      <w:highlight w:val="none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不完好</w:t>
                  </w:r>
                </w:p>
              </w:tc>
              <w:tc>
                <w:tcPr>
                  <w:tcW w:w="944" w:type="dxa"/>
                </w:tcPr>
                <w:p>
                  <w:pPr>
                    <w:rPr>
                      <w:strike/>
                      <w:dstrike w:val="0"/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7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90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6" w:type="dxa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793" w:type="dxa"/>
            <w:vMerge w:val="continue"/>
            <w:shd w:val="clear" w:color="auto" w:fill="auto"/>
          </w:tcPr>
          <w:p/>
        </w:tc>
        <w:tc>
          <w:tcPr>
            <w:tcW w:w="90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6" w:type="dxa"/>
            <w:shd w:val="clear" w:color="auto" w:fill="auto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尊重员工，关注员工身心健康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严格的疫情防控要求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不随意加班、定期进行沟通等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按照《前提方案RPR》进行控制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现场观察生产加工环境以及办公环境基本整齐。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7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906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793" w:type="dxa"/>
            <w:vMerge w:val="continue"/>
          </w:tcPr>
          <w:p/>
        </w:tc>
        <w:tc>
          <w:tcPr>
            <w:tcW w:w="906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6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公司位于</w:t>
            </w:r>
            <w:bookmarkStart w:id="0" w:name="生产地址"/>
            <w:r>
              <w:rPr>
                <w:rFonts w:hint="eastAsia"/>
                <w:szCs w:val="21"/>
                <w:u w:val="single"/>
              </w:rPr>
              <w:t>河北省廊坊市霸州市112国道张庄村</w:t>
            </w:r>
            <w:bookmarkEnd w:id="0"/>
          </w:p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审核周期内未发生变化。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210" w:firstLineChars="100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占地</w:t>
            </w:r>
            <w:r>
              <w:rPr>
                <w:rFonts w:hint="eastAsia" w:ascii="宋体" w:hAnsi="宋体"/>
                <w:szCs w:val="21"/>
                <w:u w:val="single"/>
              </w:rPr>
              <w:t>面积约有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4200平方米</w:t>
            </w:r>
            <w:r>
              <w:rPr>
                <w:rFonts w:hint="eastAsia" w:ascii="宋体" w:hAnsi="宋体"/>
                <w:szCs w:val="21"/>
                <w:u w:val="single"/>
              </w:rPr>
              <w:t>。常温仓库1个；生产车间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u w:val="single"/>
              </w:rPr>
              <w:t>个；检验室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u w:val="single"/>
              </w:rPr>
              <w:t>个；卫生间在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生产车间外；</w:t>
            </w:r>
            <w:r>
              <w:rPr>
                <w:rFonts w:hint="eastAsia" w:ascii="宋体" w:hAnsi="宋体"/>
                <w:szCs w:val="21"/>
                <w:u w:val="single"/>
              </w:rPr>
              <w:t>设有一次更衣室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二次更衣室</w:t>
            </w:r>
            <w:r>
              <w:rPr>
                <w:rFonts w:hint="eastAsia" w:ascii="宋体" w:hAnsi="宋体"/>
                <w:szCs w:val="21"/>
                <w:u w:val="single"/>
              </w:rPr>
              <w:t>；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审核期间巡视基本无变化。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与平面图一致。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生产现场</w:t>
            </w:r>
            <w:r>
              <w:rPr>
                <w:rFonts w:hint="eastAsia" w:ascii="宋体" w:hAnsi="宋体"/>
                <w:szCs w:val="21"/>
                <w:u w:val="single"/>
              </w:rPr>
              <w:t>查看半固体（酱）调味料（芝麻酱、花生酱、芝麻花生混合酱）的生产提供过程管理，与流程图基本一致。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对水流、物流和人流有区域划分，基本满足不交叉；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>车间内垃圾桶带盖，每天加工结束进行清理；</w:t>
            </w:r>
          </w:p>
          <w:p>
            <w:pPr>
              <w:ind w:firstLine="210" w:firstLineChars="100"/>
              <w:rPr>
                <w:rFonts w:hint="default"/>
                <w:color w:val="FF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>车间安装有虫鼠害防治措施，</w:t>
            </w:r>
            <w:r>
              <w:rPr>
                <w:rFonts w:hint="eastAsia"/>
                <w:u w:val="single"/>
                <w:lang w:val="en-US" w:eastAsia="zh-CN"/>
              </w:rPr>
              <w:t>如灭蝇灯、挡鼠板，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2现灭蝇灯中有大量蚊蝇未进行清理，</w:t>
            </w:r>
            <w:r>
              <w:rPr>
                <w:rFonts w:hint="eastAsia"/>
                <w:u w:val="single"/>
                <w:lang w:val="en-US" w:eastAsia="zh-CN"/>
              </w:rPr>
              <w:t>提供有《捕鼠器、灭蝇灯检查表》，抽查2021-07月、2022-01月，未见异常</w:t>
            </w:r>
            <w:r>
              <w:rPr>
                <w:rFonts w:hint="eastAsia"/>
                <w:color w:val="000000"/>
                <w:szCs w:val="21"/>
                <w:u w:val="single"/>
              </w:rPr>
              <w:t>，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eastAsia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>设备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设施</w:t>
            </w:r>
            <w:r>
              <w:rPr>
                <w:rFonts w:hint="eastAsia"/>
                <w:sz w:val="21"/>
                <w:szCs w:val="21"/>
                <w:u w:val="single"/>
              </w:rPr>
              <w:t>主要以清洁为主，内包材采用紫外线班后进行消毒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；</w:t>
            </w:r>
          </w:p>
          <w:p>
            <w:pPr>
              <w:pStyle w:val="2"/>
              <w:ind w:left="0" w:leftChars="0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内包材消毒按照OPRP点进行控制，见生产部F8.5.4.5条款审核记录</w:t>
            </w:r>
          </w:p>
          <w:p>
            <w:pPr>
              <w:pStyle w:val="11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  <w:lang w:val="en-US" w:eastAsia="zh-CN"/>
              </w:rPr>
              <w:t>采购部</w:t>
            </w:r>
            <w:r>
              <w:rPr>
                <w:rFonts w:hint="eastAsia"/>
                <w:u w:val="single"/>
              </w:rPr>
              <w:t>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</w:rPr>
              <w:t>有《成品入库记录表》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、《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出库记录表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》，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记录有生产批次、入库人、产品名称规格、数量等信息，随机抽取2022-01-01至2022-01-19《成品入库记录》，未见异常</w:t>
            </w:r>
            <w:r>
              <w:rPr>
                <w:rFonts w:hint="eastAsia"/>
                <w:szCs w:val="22"/>
                <w:highlight w:val="none"/>
                <w:u w:val="single"/>
              </w:rPr>
              <w:t>。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现场</w:t>
            </w:r>
            <w:r>
              <w:rPr>
                <w:rFonts w:hint="eastAsia" w:ascii="宋体" w:hAnsi="宋体"/>
                <w:szCs w:val="21"/>
                <w:u w:val="single"/>
              </w:rPr>
              <w:t>观察——仓库路面全部硬化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u w:val="single"/>
              </w:rPr>
              <w:t>平整，材质，结构，建筑物，门窗，基本符合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配有防鼠板、灭火器</w:t>
            </w:r>
            <w:r>
              <w:rPr>
                <w:rFonts w:hint="eastAsia" w:ascii="宋体" w:hAnsi="宋体"/>
                <w:szCs w:val="21"/>
                <w:u w:val="single"/>
              </w:rPr>
              <w:t>；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基本干净整洁，分区域存放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现场抽查库存的芝麻花生酱，在保质期内；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color w:val="FF0000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现场观察发现：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现场观察内包材库房：废弃芝麻酱与内包材混放情况。</w:t>
            </w: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满足要求   </w:t>
            </w: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不满足要求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生产加工现场正在生产花生酱，部分正在包装的桶装芝麻酱着地放置，已与企业沟通</w:t>
            </w:r>
          </w:p>
          <w:p>
            <w:r>
              <w:rPr>
                <w:rFonts w:hint="eastAsia"/>
                <w:b/>
                <w:bCs/>
                <w:lang w:val="en-US" w:eastAsia="zh-CN"/>
              </w:rPr>
              <w:t>h)</w:t>
            </w: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1680" w:leftChars="100" w:hanging="1470" w:hangingChars="7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加工场所分为：</w:t>
            </w:r>
          </w:p>
          <w:p>
            <w:pPr>
              <w:pStyle w:val="4"/>
              <w:rPr>
                <w:rFonts w:hint="eastAsia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highlight w:val="none"/>
                <w:u w:val="single"/>
              </w:rPr>
              <w:t>设置有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原料仓库、研磨间、内包材库、内包间等区域，有分隔；</w:t>
            </w:r>
            <w:r>
              <w:rPr>
                <w:rFonts w:hint="eastAsia"/>
                <w:highlight w:val="none"/>
                <w:u w:val="single"/>
              </w:rPr>
              <w:t>基本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具备防止交叉污染的条件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。</w:t>
            </w:r>
          </w:p>
          <w:p>
            <w:pPr>
              <w:pStyle w:val="4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审核周期内未发生变化。</w:t>
            </w:r>
          </w:p>
          <w:p>
            <w:pPr>
              <w:pStyle w:val="4"/>
              <w:rPr>
                <w:rFonts w:hint="default"/>
                <w:color w:val="FF000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u w:val="single"/>
                <w:lang w:val="en-US" w:eastAsia="zh-CN"/>
              </w:rPr>
              <w:t xml:space="preserve">生产加工现场有较多的线绳，存在污染产品的风险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满足要求   </w:t>
            </w: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不满足要求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b/>
                <w:bCs/>
                <w:lang w:val="en-US" w:eastAsia="zh-CN"/>
              </w:rPr>
              <w:t>i)</w:t>
            </w: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每天工作结束主要以清洁为主，环境基本干净整洁；</w:t>
            </w:r>
          </w:p>
          <w:p>
            <w:pPr>
              <w:pStyle w:val="4"/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健康证见“办公室”审核记录，</w:t>
            </w:r>
          </w:p>
          <w:p>
            <w:pPr>
              <w:ind w:firstLine="210" w:firstLineChars="1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现场观察内包间正在包装芝麻酱，包装工人有戴口罩、佩戴一次性帽子，穿有工作服；抽查操作工陈**，健康证在有效期内；</w:t>
            </w:r>
          </w:p>
          <w:p>
            <w:pPr>
              <w:ind w:firstLine="210" w:firstLineChars="1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每日进行晨检，提供有《个人卫生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日</w:t>
            </w:r>
            <w:r>
              <w:rPr>
                <w:rFonts w:hint="eastAsia"/>
                <w:highlight w:val="none"/>
                <w:u w:val="single"/>
              </w:rPr>
              <w:t>检查表》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抽查2022-07，未见异常</w:t>
            </w:r>
            <w:r>
              <w:rPr>
                <w:rFonts w:hint="eastAsia"/>
                <w:highlight w:val="none"/>
                <w:u w:val="single"/>
              </w:rPr>
              <w:t>。</w:t>
            </w:r>
          </w:p>
          <w:p>
            <w:pPr>
              <w:pStyle w:val="11"/>
              <w:ind w:firstLine="230" w:firstLineChars="100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</w:rPr>
              <w:t>外来人员身体的健康告知：</w:t>
            </w:r>
            <w:r>
              <w:rPr>
                <w:rFonts w:hint="eastAsia"/>
                <w:highlight w:val="none"/>
                <w:u w:val="single"/>
              </w:rPr>
              <w:sym w:font="Wingdings" w:char="00A8"/>
            </w:r>
            <w:r>
              <w:rPr>
                <w:rFonts w:hint="eastAsia"/>
                <w:highlight w:val="none"/>
                <w:u w:val="single"/>
              </w:rPr>
              <w:t xml:space="preserve">健康证  </w:t>
            </w:r>
            <w:r>
              <w:rPr>
                <w:rFonts w:hint="eastAsia"/>
                <w:highlight w:val="none"/>
                <w:u w:val="single"/>
              </w:rPr>
              <w:sym w:font="Wingdings 2" w:char="0052"/>
            </w:r>
            <w:r>
              <w:rPr>
                <w:rFonts w:hint="eastAsia"/>
                <w:highlight w:val="none"/>
                <w:u w:val="single"/>
              </w:rPr>
              <w:t>良好身体健康告知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但未保留记录，已与企业沟通</w:t>
            </w:r>
          </w:p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产品信息/消费者意识；</w:t>
            </w:r>
            <w:r>
              <w:rPr>
                <w:rFonts w:hint="eastAsia"/>
                <w:b/>
                <w:bCs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                              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满足要求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不满足要求</w:t>
            </w:r>
          </w:p>
          <w:p>
            <w:pPr>
              <w:pStyle w:val="11"/>
              <w:ind w:firstLine="230" w:firstLineChars="100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该企业的产品主要是半固体（酱）调味料（芝麻酱、花生酱、芝麻花生混合酱）的生产</w:t>
            </w:r>
          </w:p>
          <w:p>
            <w:pPr>
              <w:pStyle w:val="11"/>
              <w:ind w:firstLine="23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  <w:u w:val="single"/>
              </w:rPr>
              <w:t>客户群体主要是作为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食材使用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t>标识和可追溯性</w:t>
            </w:r>
          </w:p>
        </w:tc>
        <w:tc>
          <w:tcPr>
            <w:tcW w:w="793" w:type="dxa"/>
            <w:vMerge w:val="restart"/>
          </w:tcPr>
          <w:p>
            <w:r>
              <w:t>F8.3</w:t>
            </w:r>
          </w:p>
          <w:p/>
        </w:tc>
        <w:tc>
          <w:tcPr>
            <w:tcW w:w="906" w:type="dxa"/>
            <w:gridSpan w:val="3"/>
          </w:tcPr>
          <w:p>
            <w:r>
              <w:t>文件名称</w:t>
            </w:r>
          </w:p>
        </w:tc>
        <w:tc>
          <w:tcPr>
            <w:tcW w:w="924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t>如：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管理</w:t>
            </w:r>
            <w:r>
              <w:t>手册8.5.2条款、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《</w:t>
            </w:r>
            <w:r>
              <w:rPr>
                <w:rFonts w:hint="eastAsia"/>
              </w:rPr>
              <w:t>产品标识和可追溯程序</w:t>
            </w:r>
            <w:r>
              <w:rPr>
                <w:szCs w:val="16"/>
              </w:rPr>
              <w:t>》</w:t>
            </w:r>
            <w:r>
              <w:t>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《前提方案》</w:t>
            </w:r>
            <w:r>
              <w:rPr>
                <w:rFonts w:hint="eastAsia"/>
                <w:lang w:eastAsia="zh-CN"/>
              </w:rPr>
              <w:t>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rPr>
                <w:rFonts w:hint="eastAsia"/>
                <w:lang w:eastAsia="zh-CN"/>
              </w:rPr>
              <w:t>《产品召回程序》</w:t>
            </w:r>
          </w:p>
        </w:tc>
        <w:tc>
          <w:tcPr>
            <w:tcW w:w="1568" w:type="dxa"/>
            <w:vMerge w:val="restart"/>
          </w:tcPr>
          <w:p>
            <w:r>
              <w:fldChar w:fldCharType="begin"/>
            </w:r>
            <w:r>
              <w:instrText xml:space="preserve"> eq \o\ac(□,</w:instrText>
            </w:r>
            <w:r>
              <w:rPr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98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793" w:type="dxa"/>
            <w:vMerge w:val="continue"/>
          </w:tcPr>
          <w:p/>
        </w:tc>
        <w:tc>
          <w:tcPr>
            <w:tcW w:w="906" w:type="dxa"/>
            <w:gridSpan w:val="3"/>
          </w:tcPr>
          <w:p>
            <w:r>
              <w:t>运行证据</w:t>
            </w:r>
          </w:p>
        </w:tc>
        <w:tc>
          <w:tcPr>
            <w:tcW w:w="9246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产品的检验状态标识：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待检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待下结论 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合格  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不合格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在建立和实施可追溯性体系时，考虑了以下内容：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>接收物料、配料、中间产品批量与最终产品的关系；</w:t>
            </w: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材料/产品的返工；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不涉及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>最终产品的分销。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原材料的唯一性标识方式：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容器编号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标牌  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标签  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区域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周装箱的颜色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批号打码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条形码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二维码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其他</w:t>
            </w:r>
            <w:r>
              <w:rPr>
                <w:rFonts w:hint="eastAsia"/>
                <w:highlight w:val="none"/>
              </w:rPr>
              <w:t>——周转筐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半成品的唯一性标识方式： 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容器编号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标牌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标签  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区域  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周装箱的颜色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批号打码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条形码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二维码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其他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成品的唯一性标识方式： 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容器编号  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标牌  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标签  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区域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周装箱的颜色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批号打码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条形码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二维码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>其他</w:t>
            </w:r>
            <w:r>
              <w:rPr>
                <w:rFonts w:hint="eastAsia"/>
                <w:highlight w:val="none"/>
              </w:rPr>
              <w:t>—周转筐</w:t>
            </w:r>
          </w:p>
          <w:p>
            <w:pPr>
              <w:pStyle w:val="2"/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组织于</w:t>
            </w:r>
            <w:r>
              <w:rPr>
                <w:highlight w:val="none"/>
                <w:u w:val="single"/>
              </w:rPr>
              <w:t xml:space="preserve">   202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</w:t>
            </w:r>
            <w:r>
              <w:rPr>
                <w:highlight w:val="none"/>
                <w:u w:val="single"/>
              </w:rPr>
              <w:t>年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5</w:t>
            </w:r>
            <w:r>
              <w:rPr>
                <w:highlight w:val="none"/>
                <w:u w:val="single"/>
              </w:rPr>
              <w:t xml:space="preserve">月 15 </w:t>
            </w:r>
            <w:r>
              <w:rPr>
                <w:highlight w:val="none"/>
              </w:rPr>
              <w:t>日验证和测试可追溯性体系的有效性。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追溯原因：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演练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质量事故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顾客投诉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市场抽查不合格 </w:t>
            </w:r>
          </w:p>
          <w:tbl>
            <w:tblPr>
              <w:tblStyle w:val="9"/>
              <w:tblW w:w="89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8"/>
              <w:gridCol w:w="2208"/>
              <w:gridCol w:w="1228"/>
              <w:gridCol w:w="1145"/>
              <w:gridCol w:w="1143"/>
              <w:gridCol w:w="850"/>
              <w:gridCol w:w="15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产品批号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生产记录情况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检验记录情况</w:t>
                  </w:r>
                </w:p>
              </w:tc>
              <w:tc>
                <w:tcPr>
                  <w:tcW w:w="11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采购记录情况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产品留样确认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20515</w:t>
                  </w:r>
                </w:p>
              </w:tc>
              <w:tc>
                <w:tcPr>
                  <w:tcW w:w="2208" w:type="dxa"/>
                </w:tcPr>
                <w:p>
                  <w:pPr>
                    <w:spacing w:line="276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发现发给客户曾氏麻辣风巴渝菜舍霸州店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20220512</w:t>
                  </w:r>
                  <w:r>
                    <w:rPr>
                      <w:rFonts w:hint="eastAsia"/>
                      <w:highlight w:val="none"/>
                    </w:rPr>
                    <w:t>批次的芝麻花生酱净含量不合格（模拟）</w:t>
                  </w:r>
                </w:p>
              </w:tc>
              <w:tc>
                <w:tcPr>
                  <w:tcW w:w="122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20512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20512</w:t>
                  </w:r>
                </w:p>
              </w:tc>
              <w:tc>
                <w:tcPr>
                  <w:tcW w:w="114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20512</w:t>
                  </w:r>
                </w:p>
              </w:tc>
              <w:tc>
                <w:tcPr>
                  <w:tcW w:w="1588" w:type="dxa"/>
                </w:tcPr>
                <w:p>
                  <w:pPr>
                    <w:spacing w:line="276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共发出20桶，共收回20桶</w:t>
                  </w:r>
                </w:p>
              </w:tc>
            </w:tr>
          </w:tbl>
          <w:p>
            <w:pPr>
              <w:rPr>
                <w:rFonts w:hint="default"/>
                <w:highlight w:val="yellow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可追溯性系统证据的保留期限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>24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</w:rPr>
              <w:t xml:space="preserve">个月，至少包括产品的保质期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12 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</w:rPr>
              <w:t>个月。</w:t>
            </w:r>
          </w:p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产品留样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芝麻花生混合酱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100g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2022.03.01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12个月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常温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花生酱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5kg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2022.04.06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12个月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常温</w:t>
                  </w: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系统的验证包括最终产品数量与成分数量的核对，作为追溯性有效性的证据。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是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否</w:t>
            </w:r>
          </w:p>
          <w:p>
            <w:pPr>
              <w:pStyle w:val="2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69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793" w:type="dxa"/>
            <w:vMerge w:val="continue"/>
          </w:tcPr>
          <w:p/>
        </w:tc>
        <w:tc>
          <w:tcPr>
            <w:tcW w:w="906" w:type="dxa"/>
            <w:gridSpan w:val="3"/>
          </w:tcPr>
          <w:p>
            <w:r>
              <w:t>现场观察</w:t>
            </w:r>
          </w:p>
        </w:tc>
        <w:tc>
          <w:tcPr>
            <w:tcW w:w="9246" w:type="dxa"/>
          </w:tcPr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highlight w:val="none"/>
              </w:rPr>
              <w:t>在生产或服务场所对原材料的标识情况：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生产加工车间见到有未脱包的鸡精调味料，已与企业沟通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在生产或服务场所对半成品的标识情况：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不适宜说明：</w:t>
            </w:r>
            <w:r>
              <w:rPr>
                <w:rFonts w:hint="eastAsia"/>
                <w:highlight w:val="none"/>
                <w:lang w:val="en-US" w:eastAsia="zh-CN"/>
              </w:rPr>
              <w:t>分区域存放，但</w:t>
            </w:r>
            <w:r>
              <w:rPr>
                <w:highlight w:val="none"/>
              </w:rPr>
              <w:t xml:space="preserve"> 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在生产或服务场所对成品的标识情况：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不适宜说明：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highlight w:val="none"/>
              </w:rPr>
              <w:t>在原材料库房的标识情况：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烤花生仁、白芝麻分区域存放在托盘上，少量成品韭菜花存放直接存放在地面上，已与企业沟通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highlight w:val="none"/>
              </w:rPr>
              <w:t>在半成品库房的标识情况：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不适宜说明：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不涉及</w:t>
            </w:r>
          </w:p>
          <w:p>
            <w:pPr>
              <w:rPr>
                <w:highlight w:val="yellow"/>
              </w:rPr>
            </w:pPr>
            <w:r>
              <w:rPr>
                <w:highlight w:val="none"/>
              </w:rPr>
              <w:t xml:space="preserve">在成品库房的标识情况：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不适宜说明：</w:t>
            </w:r>
          </w:p>
        </w:tc>
        <w:tc>
          <w:tcPr>
            <w:tcW w:w="15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17" w:type="dxa"/>
          <w:trHeight w:val="468" w:hRule="atLeast"/>
        </w:trPr>
        <w:tc>
          <w:tcPr>
            <w:tcW w:w="2170" w:type="dxa"/>
            <w:vMerge w:val="restart"/>
            <w:shd w:val="clear" w:color="auto" w:fill="auto"/>
          </w:tcPr>
          <w:p>
            <w:r>
              <w:t>应急预案</w:t>
            </w:r>
          </w:p>
        </w:tc>
        <w:tc>
          <w:tcPr>
            <w:tcW w:w="793" w:type="dxa"/>
            <w:vMerge w:val="restart"/>
            <w:shd w:val="clear" w:color="auto" w:fill="auto"/>
          </w:tcPr>
          <w:p>
            <w:r>
              <w:t>F8.4</w:t>
            </w:r>
          </w:p>
          <w:p/>
        </w:tc>
        <w:tc>
          <w:tcPr>
            <w:tcW w:w="906" w:type="dxa"/>
            <w:gridSpan w:val="3"/>
            <w:shd w:val="clear" w:color="auto" w:fill="auto"/>
          </w:tcPr>
          <w:p>
            <w:r>
              <w:t>文件名称</w:t>
            </w:r>
          </w:p>
        </w:tc>
        <w:tc>
          <w:tcPr>
            <w:tcW w:w="9246" w:type="dxa"/>
            <w:shd w:val="clear" w:color="auto" w:fill="auto"/>
          </w:tcPr>
          <w:p>
            <w:r>
              <w:t>如：</w:t>
            </w:r>
            <w:r>
              <w:rPr/>
              <w:sym w:font="Wingdings" w:char="00FE"/>
            </w:r>
            <w:r>
              <w:t>《应急准备和响应控制程序》、</w:t>
            </w:r>
            <w:r>
              <w:rPr/>
              <w:sym w:font="Wingdings" w:char="00A8"/>
            </w:r>
            <w:r>
              <w:t>《应急预案》、</w:t>
            </w:r>
            <w:r>
              <w:rPr/>
              <w:sym w:font="Wingdings" w:char="00A8"/>
            </w:r>
            <w:r>
              <w:t>《突发事件准备和响应控制程序》</w:t>
            </w:r>
          </w:p>
        </w:tc>
        <w:tc>
          <w:tcPr>
            <w:tcW w:w="1568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17" w:type="dxa"/>
          <w:trHeight w:val="180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793" w:type="dxa"/>
            <w:vMerge w:val="continue"/>
            <w:shd w:val="clear" w:color="auto" w:fill="auto"/>
          </w:tcPr>
          <w:p/>
        </w:tc>
        <w:tc>
          <w:tcPr>
            <w:tcW w:w="906" w:type="dxa"/>
            <w:gridSpan w:val="3"/>
            <w:shd w:val="clear" w:color="auto" w:fill="auto"/>
          </w:tcPr>
          <w:p>
            <w:r>
              <w:t>运行证据</w:t>
            </w:r>
          </w:p>
        </w:tc>
        <w:tc>
          <w:tcPr>
            <w:tcW w:w="9246" w:type="dxa"/>
            <w:shd w:val="clear" w:color="auto" w:fill="auto"/>
          </w:tcPr>
          <w:p>
            <w:r>
              <w:t>可能影响食品安全事故和/或紧急情况的示例包括：</w:t>
            </w:r>
          </w:p>
          <w:p>
            <w:r>
              <w:rPr/>
              <w:sym w:font="Wingdings" w:char="00FE"/>
            </w:r>
            <w:r>
              <w:t xml:space="preserve">自然灾害        </w:t>
            </w:r>
            <w:r>
              <w:rPr/>
              <w:sym w:font="Wingdings" w:char="00FE"/>
            </w:r>
            <w:r>
              <w:t xml:space="preserve">环境事故      </w:t>
            </w:r>
            <w:r>
              <w:rPr/>
              <w:sym w:font="Wingdings" w:char="00FE"/>
            </w:r>
            <w:r>
              <w:t xml:space="preserve">生物恐怖主义   </w:t>
            </w:r>
            <w:r>
              <w:rPr/>
              <w:sym w:font="Wingdings" w:char="00FE"/>
            </w:r>
            <w:r>
              <w:t xml:space="preserve">工作场所事故       </w:t>
            </w:r>
            <w:r>
              <w:rPr/>
              <w:sym w:font="Wingdings" w:char="00A8"/>
            </w:r>
            <w:r>
              <w:t>食品中毒</w:t>
            </w:r>
          </w:p>
          <w:p>
            <w:r>
              <w:rPr/>
              <w:sym w:font="Wingdings" w:char="00FE"/>
            </w:r>
            <w:r>
              <w:t xml:space="preserve">突发公共卫生事件   </w:t>
            </w:r>
            <w:r>
              <w:rPr/>
              <w:sym w:font="Wingdings" w:char="00A8"/>
            </w:r>
            <w:r>
              <w:t xml:space="preserve">水的中断    </w:t>
            </w:r>
            <w:r>
              <w:rPr/>
              <w:sym w:font="Wingdings" w:char="00FE"/>
            </w:r>
            <w:r>
              <w:t xml:space="preserve">电的中断     </w:t>
            </w:r>
            <w:r>
              <w:rPr/>
              <w:sym w:font="Wingdings" w:char="00FE"/>
            </w:r>
            <w:r>
              <w:t xml:space="preserve">制冷供应服务中断   </w:t>
            </w:r>
            <w:r>
              <w:rPr/>
              <w:sym w:font="Wingdings" w:char="00FE"/>
            </w:r>
            <w:r>
              <w:t>其他—食品供应链的突变</w:t>
            </w:r>
          </w:p>
          <w:p/>
          <w:p>
            <w:r>
              <w:t>组织应预先制定应对的方案和措施，必要时做出响应，以减少食品可能发生安全危害的影响。</w:t>
            </w:r>
          </w:p>
          <w:p>
            <w:r>
              <w:t>见</w:t>
            </w:r>
            <w:r>
              <w:rPr/>
              <w:sym w:font="Wingdings" w:char="00FE"/>
            </w:r>
            <w:r>
              <w:t>《应急准备和响应控制程序》、</w:t>
            </w:r>
            <w:r>
              <w:rPr/>
              <w:sym w:font="Wingdings" w:char="00A8"/>
            </w:r>
            <w:r>
              <w:t>《应急预案》、</w:t>
            </w:r>
            <w:r>
              <w:rPr/>
              <w:sym w:font="Wingdings" w:char="00A8"/>
            </w:r>
            <w:r>
              <w:t>《突发事件准备和响应控制程序》</w:t>
            </w:r>
          </w:p>
          <w:p/>
          <w:p>
            <w: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/>
              <w:sym w:font="Wingdings" w:char="00FE"/>
            </w:r>
            <w:r>
              <w:t xml:space="preserve">未发生 </w:t>
            </w:r>
            <w:r>
              <w:rPr/>
              <w:sym w:font="Wingdings" w:char="00A8"/>
            </w:r>
            <w: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t>本部门是否发生食品安全方面的应急演练：</w:t>
            </w:r>
          </w:p>
          <w:p>
            <w:pPr>
              <w:rPr>
                <w:rFonts w:hint="default"/>
                <w:lang w:val="en-US"/>
              </w:rPr>
            </w:pPr>
            <w:r>
              <w:rPr/>
              <w:sym w:font="Wingdings" w:char="00FE"/>
            </w:r>
            <w:r>
              <w:t>参加公司组织的应急演练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</w:p>
          <w:p>
            <w:pPr>
              <w:rPr>
                <w:u w:val="single"/>
              </w:rPr>
            </w:pPr>
            <w:r>
              <w:rPr/>
              <w:sym w:font="Wingdings" w:char="00A8"/>
            </w:r>
            <w:r>
              <w:t>本部门组织的专项应急演练 ，说明</w:t>
            </w:r>
            <w:r>
              <w:rPr>
                <w:u w:val="single"/>
              </w:rPr>
              <w:t xml:space="preserve"> 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消防应急演练2022.04.23</w:t>
                  </w:r>
                </w:p>
              </w:tc>
              <w:tc>
                <w:tcPr>
                  <w:tcW w:w="2084" w:type="dxa"/>
                </w:tcPr>
                <w:p>
                  <w:r>
                    <w:rPr/>
                    <w:sym w:font="Wingdings" w:char="00A8"/>
                  </w:r>
                  <w: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/>
                    <w:sym w:font="Wingdings" w:char="00FE"/>
                  </w:r>
                  <w: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消防应急预案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/>
                    <w:sym w:font="Wingdings" w:char="00FE"/>
                  </w:r>
                  <w:r>
                    <w:t xml:space="preserve">有效  </w:t>
                  </w:r>
                  <w:r>
                    <w:rPr/>
                    <w:sym w:font="Wingdings" w:char="00A8"/>
                  </w:r>
                  <w: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r>
                    <w:rPr/>
                    <w:sym w:font="Wingdings" w:char="00A8"/>
                  </w:r>
                  <w: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/>
                    <w:sym w:font="Wingdings" w:char="00A8"/>
                  </w:r>
                  <w: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/>
                    <w:sym w:font="Wingdings" w:char="00A8"/>
                  </w:r>
                  <w:r>
                    <w:t xml:space="preserve">有效  </w:t>
                  </w:r>
                  <w:r>
                    <w:rPr/>
                    <w:sym w:font="Wingdings" w:char="00A8"/>
                  </w:r>
                  <w:r>
                    <w:t>无效</w:t>
                  </w:r>
                </w:p>
              </w:tc>
            </w:tr>
          </w:tbl>
          <w:p/>
          <w:p>
            <w:r>
              <w:t>对预案定期评审的日期：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2022.04.23</w:t>
            </w:r>
            <w:r>
              <w:rPr>
                <w:u w:val="single"/>
              </w:rPr>
              <w:t xml:space="preserve">    </w:t>
            </w:r>
          </w:p>
          <w:p>
            <w:r>
              <w:t>修订响应措施的内容：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u w:val="single"/>
              </w:rPr>
              <w:t xml:space="preserve">                          </w:t>
            </w:r>
            <w:r>
              <w:t>。</w:t>
            </w:r>
          </w:p>
          <w:p/>
        </w:tc>
        <w:tc>
          <w:tcPr>
            <w:tcW w:w="156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793" w:type="dxa"/>
            <w:vMerge w:val="restart"/>
          </w:tcPr>
          <w:p>
            <w:pPr>
              <w:pStyle w:val="11"/>
            </w:pPr>
            <w:r>
              <w:rPr>
                <w:rFonts w:hint="eastAsia"/>
              </w:rPr>
              <w:t>F8.9.5</w:t>
            </w:r>
          </w:p>
          <w:p/>
        </w:tc>
        <w:tc>
          <w:tcPr>
            <w:tcW w:w="899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《产品标识和可追溯程序》、</w:t>
            </w:r>
            <w:r>
              <w:rPr/>
              <w:sym w:font="Wingdings" w:char="00FE"/>
            </w:r>
            <w:r>
              <w:t>《</w:t>
            </w:r>
            <w:r>
              <w:rPr>
                <w:rFonts w:hint="eastAsia"/>
              </w:rPr>
              <w:t>突发事件应急响应程序</w:t>
            </w:r>
            <w:r>
              <w:t>》</w:t>
            </w:r>
            <w:r>
              <w:rPr>
                <w:rFonts w:hint="eastAsia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产品召回程序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40" w:hRule="atLeast"/>
        </w:trPr>
        <w:tc>
          <w:tcPr>
            <w:tcW w:w="2170" w:type="dxa"/>
            <w:vMerge w:val="continue"/>
          </w:tcPr>
          <w:p/>
        </w:tc>
        <w:tc>
          <w:tcPr>
            <w:tcW w:w="793" w:type="dxa"/>
            <w:vMerge w:val="continue"/>
          </w:tcPr>
          <w:p/>
        </w:tc>
        <w:tc>
          <w:tcPr>
            <w:tcW w:w="899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t>有权决定撤回/召回人员：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总经理 </w:t>
            </w:r>
            <w:r>
              <w:rPr>
                <w:u w:val="single"/>
              </w:rPr>
              <w:t xml:space="preserve">  </w:t>
            </w:r>
            <w:r>
              <w:t xml:space="preserve">；  </w:t>
            </w:r>
          </w:p>
          <w:p>
            <w:r>
              <w:t>确保及时撤回/召回被确定为潜在不安全的大量最终产品。</w:t>
            </w:r>
          </w:p>
          <w:p>
            <w: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生产部、质检部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生产部、质检部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本部门是否发生产品的撤回或召回方面的处置：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未发生（参加公司组织的产品召回演练）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290"/>
              <w:gridCol w:w="2158"/>
              <w:gridCol w:w="1702"/>
              <w:gridCol w:w="1285"/>
              <w:gridCol w:w="1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1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15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70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20515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15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发现发给客户曾氏麻辣风巴渝菜舍霸州店</w:t>
                  </w:r>
                  <w:r>
                    <w:rPr>
                      <w:rFonts w:hint="eastAsia"/>
                      <w:lang w:val="en-US" w:eastAsia="zh-CN"/>
                    </w:rPr>
                    <w:t>20220512</w:t>
                  </w:r>
                  <w:r>
                    <w:rPr>
                      <w:rFonts w:hint="eastAsia"/>
                    </w:rPr>
                    <w:t>批次的芝麻花生酱净含量不合格（模拟）</w:t>
                  </w:r>
                </w:p>
              </w:tc>
              <w:tc>
                <w:tcPr>
                  <w:tcW w:w="1702" w:type="dxa"/>
                  <w:shd w:val="clear" w:color="auto" w:fill="auto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t>共发出20桶，共收回20桶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共发出20桶，共收回20桶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158" w:type="dxa"/>
                  <w:shd w:val="clear" w:color="auto" w:fill="auto"/>
                </w:tcPr>
                <w:p/>
              </w:tc>
              <w:tc>
                <w:tcPr>
                  <w:tcW w:w="170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u w:val="single"/>
              </w:rPr>
              <w:t>产品召回演练记录</w:t>
            </w:r>
            <w:r>
              <w:rPr>
                <w:rFonts w:hint="eastAsia"/>
              </w:rPr>
              <w:t>》， 并向最高管理者报告， 作为管理评审的输入。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17" w:type="dxa"/>
          <w:trHeight w:val="671" w:hRule="atLeast"/>
        </w:trPr>
        <w:tc>
          <w:tcPr>
            <w:tcW w:w="2170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</w:p>
        </w:tc>
        <w:tc>
          <w:tcPr>
            <w:tcW w:w="7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89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手册8.5条款、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《固态调味料生产操作规程》</w:t>
            </w:r>
          </w:p>
        </w:tc>
        <w:tc>
          <w:tcPr>
            <w:tcW w:w="156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17" w:type="dxa"/>
          <w:trHeight w:val="487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793" w:type="dxa"/>
            <w:vMerge w:val="continue"/>
            <w:shd w:val="clear" w:color="auto" w:fill="auto"/>
          </w:tcPr>
          <w:p/>
        </w:tc>
        <w:tc>
          <w:tcPr>
            <w:tcW w:w="89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2" w:type="dxa"/>
            <w:gridSpan w:val="3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</w:p>
        </w:tc>
        <w:tc>
          <w:tcPr>
            <w:tcW w:w="156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17" w:type="dxa"/>
          <w:trHeight w:val="1252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793" w:type="dxa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890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62" w:type="dxa"/>
            <w:gridSpan w:val="3"/>
            <w:shd w:val="clear" w:color="auto" w:fill="auto"/>
          </w:tcPr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OPRP/CCP的实施情况：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7"/>
              <w:gridCol w:w="982"/>
              <w:gridCol w:w="1998"/>
              <w:gridCol w:w="2059"/>
              <w:gridCol w:w="1426"/>
              <w:gridCol w:w="11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</w:tcPr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8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地点</w:t>
                  </w:r>
                </w:p>
              </w:tc>
              <w:tc>
                <w:tcPr>
                  <w:tcW w:w="1998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行动准则/CL</w:t>
                  </w:r>
                </w:p>
              </w:tc>
              <w:tc>
                <w:tcPr>
                  <w:tcW w:w="2059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记录情况</w:t>
                  </w:r>
                </w:p>
              </w:tc>
              <w:tc>
                <w:tcPr>
                  <w:tcW w:w="1426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现场情况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417" w:type="dxa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21"/>
                      <w:szCs w:val="21"/>
                    </w:rPr>
                    <w:t>原辅料采购及验收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O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PRP1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化验室/仓库</w:t>
                  </w:r>
                </w:p>
              </w:tc>
              <w:tc>
                <w:tcPr>
                  <w:tcW w:w="1998" w:type="dxa"/>
                  <w:vAlign w:val="center"/>
                </w:tcPr>
                <w:p>
                  <w:pPr>
                    <w:spacing w:line="32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从合格供方采购，每年索取合格供方资质、产品年检报告，</w:t>
                  </w:r>
                </w:p>
              </w:tc>
              <w:tc>
                <w:tcPr>
                  <w:tcW w:w="2059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见质检部审核记录</w:t>
                  </w:r>
                </w:p>
              </w:tc>
              <w:tc>
                <w:tcPr>
                  <w:tcW w:w="1426" w:type="dxa"/>
                </w:tcPr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61" w:type="dxa"/>
                </w:tcPr>
                <w:p>
                  <w:pPr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炒制O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PRP2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生产车间</w:t>
                  </w:r>
                </w:p>
              </w:tc>
              <w:tc>
                <w:tcPr>
                  <w:tcW w:w="1998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控制温度≥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18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℃</w:t>
                  </w:r>
                </w:p>
                <w:p>
                  <w:pPr>
                    <w:spacing w:line="32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时间≥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45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min</w:t>
                  </w:r>
                </w:p>
              </w:tc>
              <w:tc>
                <w:tcPr>
                  <w:tcW w:w="2059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去年审核结束后受疫情影响，此步骤暂未使用，原材料购买熟花生、熟芝麻，已与企业沟通要对应修改危害控制计划等。</w:t>
                  </w:r>
                </w:p>
              </w:tc>
              <w:tc>
                <w:tcPr>
                  <w:tcW w:w="1426" w:type="dxa"/>
                </w:tcPr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61" w:type="dxa"/>
                </w:tcPr>
                <w:p>
                  <w:pPr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内包材杀菌消毒</w:t>
                  </w:r>
                </w:p>
                <w:p>
                  <w:pPr>
                    <w:spacing w:line="32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O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PRP3</w:t>
                  </w:r>
                </w:p>
              </w:tc>
              <w:tc>
                <w:tcPr>
                  <w:tcW w:w="98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生产车间</w:t>
                  </w:r>
                </w:p>
              </w:tc>
              <w:tc>
                <w:tcPr>
                  <w:tcW w:w="1998" w:type="dxa"/>
                  <w:vAlign w:val="center"/>
                </w:tcPr>
                <w:p>
                  <w:pPr>
                    <w:spacing w:line="32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紫外线灭菌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30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min以上</w:t>
                  </w:r>
                </w:p>
              </w:tc>
              <w:tc>
                <w:tcPr>
                  <w:tcW w:w="2059" w:type="dxa"/>
                </w:tcPr>
                <w:p>
                  <w:pPr>
                    <w:rPr>
                      <w:rFonts w:hint="default"/>
                      <w:sz w:val="21"/>
                      <w:szCs w:val="21"/>
                      <w:highlight w:val="none"/>
                      <w:lang w:val="en-US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《车间消毒记录表》，抽查2022-09，共8个批次，记录消毒方式为臭氧，消毒时间≥30min；另抽查2022.01共16个批次，记录消毒方式为臭氧，消毒时间起止符合30min要求。</w:t>
                  </w:r>
                </w:p>
              </w:tc>
              <w:tc>
                <w:tcPr>
                  <w:tcW w:w="1426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现场正在生产加工过程中，观察臭氧设备完好。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rFonts w:hint="eastAsia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1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灌装间</w:t>
                  </w:r>
                </w:p>
                <w:p>
                  <w:pPr>
                    <w:spacing w:line="32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O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PRP4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生产车间</w:t>
                  </w:r>
                </w:p>
              </w:tc>
              <w:tc>
                <w:tcPr>
                  <w:tcW w:w="1998" w:type="dxa"/>
                  <w:vAlign w:val="center"/>
                </w:tcPr>
                <w:p>
                  <w:pPr>
                    <w:spacing w:line="320" w:lineRule="exact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/>
                      <w:color w:val="auto"/>
                      <w:sz w:val="21"/>
                      <w:szCs w:val="21"/>
                      <w:lang w:val="en-US" w:eastAsia="zh-CN"/>
                    </w:rPr>
                    <w:t>紫外线灭菌30min以上或臭氧杀菌30min以上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《车间消毒记录表》，抽查2022-09月，共8个批次，2022-07月共11个批次，记录消毒方式为臭氧，消毒时间≥30min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现场正在生产加工过程中，观察臭氧设备完好。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微波杀菌消毒</w:t>
                  </w:r>
                </w:p>
                <w:p>
                  <w:pPr>
                    <w:spacing w:line="32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C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CP1</w:t>
                  </w:r>
                </w:p>
              </w:tc>
              <w:tc>
                <w:tcPr>
                  <w:tcW w:w="98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生产车间</w:t>
                  </w:r>
                </w:p>
              </w:tc>
              <w:tc>
                <w:tcPr>
                  <w:tcW w:w="1998" w:type="dxa"/>
                  <w:vAlign w:val="center"/>
                </w:tcPr>
                <w:p>
                  <w:pPr>
                    <w:spacing w:line="320" w:lineRule="exact"/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杀菌温度85度</w:t>
                  </w:r>
                </w:p>
                <w:p>
                  <w:pPr>
                    <w:spacing w:line="32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杀菌时间3分钟</w:t>
                  </w:r>
                </w:p>
              </w:tc>
              <w:tc>
                <w:tcPr>
                  <w:tcW w:w="2059" w:type="dxa"/>
                </w:tcPr>
                <w:p>
                  <w:pPr>
                    <w:rPr>
                      <w:rFonts w:hint="default"/>
                      <w:sz w:val="21"/>
                      <w:szCs w:val="21"/>
                      <w:highlight w:val="none"/>
                      <w:lang w:val="en-US"/>
                    </w:rPr>
                  </w:pPr>
                  <w:r>
                    <w:rPr>
                      <w:rFonts w:hint="default"/>
                      <w:sz w:val="21"/>
                      <w:szCs w:val="21"/>
                      <w:highlight w:val="none"/>
                      <w:lang w:val="en-US"/>
                    </w:rPr>
                    <w:t>未提供2022-05-29批次芝麻花生酱和2022-05-24批次芝麻花生酱的微波杀菌消毒记录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现在设备完好，当天生产的芝麻酱不涉及此工序。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不 符合</w:t>
                  </w:r>
                </w:p>
              </w:tc>
            </w:tr>
          </w:tbl>
          <w:p/>
        </w:tc>
        <w:tc>
          <w:tcPr>
            <w:tcW w:w="1568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符合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符合 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bookmarkStart w:id="1" w:name="_GoBack"/>
            <w:bookmarkEnd w:id="1"/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符合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  <w:p>
            <w:pPr>
              <w:pStyle w:val="11"/>
            </w:pPr>
          </w:p>
        </w:tc>
      </w:tr>
    </w:tbl>
    <w:p>
      <w:pPr>
        <w:pStyle w:val="6"/>
      </w:pPr>
    </w:p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35" w:firstLineChars="550"/>
      <w:jc w:val="left"/>
      <w:rPr>
        <w:rStyle w:val="15"/>
        <w:rFonts w:hint="default"/>
      </w:rPr>
    </w:pPr>
    <w:r>
      <w:rPr>
        <w:rFonts w:ascii="宋体" w:hAnsi="宋体" w:cs="宋体"/>
        <w:sz w:val="17"/>
        <w:szCs w:val="17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-10795</wp:posOffset>
          </wp:positionV>
          <wp:extent cx="481965" cy="485140"/>
          <wp:effectExtent l="0" t="0" r="3810" b="63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wrap="square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Bqrl1gAAAAoB&#10;AAAPAAAAAAAAAAEAIAAAACIAAABkcnMvZG93bnJldi54bWxQSwECFAAUAAAACACHTuJAS3GRWuQB&#10;AAC1AwAADgAAAAAAAAABACAAAAAlAQAAZHJzL2Uyb0RvYy54bWxQSwUGAAAAAAYABgBZAQAAewUA&#10;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0475F"/>
    <w:rsid w:val="0001443C"/>
    <w:rsid w:val="000237F6"/>
    <w:rsid w:val="0003373A"/>
    <w:rsid w:val="000400E2"/>
    <w:rsid w:val="000408BB"/>
    <w:rsid w:val="000509E7"/>
    <w:rsid w:val="00056EC5"/>
    <w:rsid w:val="00061009"/>
    <w:rsid w:val="00062E46"/>
    <w:rsid w:val="00067C91"/>
    <w:rsid w:val="000A0A06"/>
    <w:rsid w:val="000C63AA"/>
    <w:rsid w:val="000C705F"/>
    <w:rsid w:val="000E6B21"/>
    <w:rsid w:val="001006A0"/>
    <w:rsid w:val="001044CD"/>
    <w:rsid w:val="0010642B"/>
    <w:rsid w:val="00107280"/>
    <w:rsid w:val="001126B5"/>
    <w:rsid w:val="00115DB0"/>
    <w:rsid w:val="001248BC"/>
    <w:rsid w:val="00125038"/>
    <w:rsid w:val="00164493"/>
    <w:rsid w:val="00184FC0"/>
    <w:rsid w:val="001A2D7F"/>
    <w:rsid w:val="001C21AB"/>
    <w:rsid w:val="001E707B"/>
    <w:rsid w:val="001F0891"/>
    <w:rsid w:val="00227D54"/>
    <w:rsid w:val="002501B0"/>
    <w:rsid w:val="0028527E"/>
    <w:rsid w:val="002939AD"/>
    <w:rsid w:val="002C7D78"/>
    <w:rsid w:val="00314AF6"/>
    <w:rsid w:val="00337922"/>
    <w:rsid w:val="00340867"/>
    <w:rsid w:val="003675E1"/>
    <w:rsid w:val="00380837"/>
    <w:rsid w:val="003A198A"/>
    <w:rsid w:val="003C3E51"/>
    <w:rsid w:val="003E1CA6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E4B74"/>
    <w:rsid w:val="004F01AD"/>
    <w:rsid w:val="00536930"/>
    <w:rsid w:val="0054737D"/>
    <w:rsid w:val="00553344"/>
    <w:rsid w:val="00560449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C1E"/>
    <w:rsid w:val="00654D21"/>
    <w:rsid w:val="0066419A"/>
    <w:rsid w:val="006658D4"/>
    <w:rsid w:val="0067640C"/>
    <w:rsid w:val="00685619"/>
    <w:rsid w:val="006A0DC8"/>
    <w:rsid w:val="006E409D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97082"/>
    <w:rsid w:val="007A7A3B"/>
    <w:rsid w:val="007C1B48"/>
    <w:rsid w:val="007C4026"/>
    <w:rsid w:val="007D754F"/>
    <w:rsid w:val="007E3B15"/>
    <w:rsid w:val="007E6AEB"/>
    <w:rsid w:val="0080278D"/>
    <w:rsid w:val="0080417E"/>
    <w:rsid w:val="00833718"/>
    <w:rsid w:val="00851D2E"/>
    <w:rsid w:val="00885D9A"/>
    <w:rsid w:val="008973EE"/>
    <w:rsid w:val="008C2E51"/>
    <w:rsid w:val="008D53B2"/>
    <w:rsid w:val="0090314D"/>
    <w:rsid w:val="00914199"/>
    <w:rsid w:val="009305FF"/>
    <w:rsid w:val="00934883"/>
    <w:rsid w:val="00942C7F"/>
    <w:rsid w:val="00947553"/>
    <w:rsid w:val="00950526"/>
    <w:rsid w:val="009526E3"/>
    <w:rsid w:val="0095369D"/>
    <w:rsid w:val="00966C93"/>
    <w:rsid w:val="00971600"/>
    <w:rsid w:val="00975FEF"/>
    <w:rsid w:val="009973B4"/>
    <w:rsid w:val="009C150D"/>
    <w:rsid w:val="009C28C1"/>
    <w:rsid w:val="009D769B"/>
    <w:rsid w:val="009E1B5D"/>
    <w:rsid w:val="009F5828"/>
    <w:rsid w:val="009F7EED"/>
    <w:rsid w:val="00A06D75"/>
    <w:rsid w:val="00A43D3C"/>
    <w:rsid w:val="00A45DD7"/>
    <w:rsid w:val="00A567D1"/>
    <w:rsid w:val="00A6095D"/>
    <w:rsid w:val="00A72D49"/>
    <w:rsid w:val="00A80636"/>
    <w:rsid w:val="00AA1FC2"/>
    <w:rsid w:val="00AA31A2"/>
    <w:rsid w:val="00AB4D21"/>
    <w:rsid w:val="00AC0189"/>
    <w:rsid w:val="00AE46F3"/>
    <w:rsid w:val="00AE6811"/>
    <w:rsid w:val="00AE7654"/>
    <w:rsid w:val="00AF066C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E7C1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64378"/>
    <w:rsid w:val="00C77034"/>
    <w:rsid w:val="00CD4D1A"/>
    <w:rsid w:val="00CE315A"/>
    <w:rsid w:val="00D06F59"/>
    <w:rsid w:val="00D15179"/>
    <w:rsid w:val="00D2018F"/>
    <w:rsid w:val="00D32B4A"/>
    <w:rsid w:val="00D4379D"/>
    <w:rsid w:val="00D45C47"/>
    <w:rsid w:val="00D57F85"/>
    <w:rsid w:val="00D8388C"/>
    <w:rsid w:val="00D856AC"/>
    <w:rsid w:val="00D87D6A"/>
    <w:rsid w:val="00DA09E8"/>
    <w:rsid w:val="00DB4C94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0CA2"/>
    <w:rsid w:val="00E8323B"/>
    <w:rsid w:val="00EA2256"/>
    <w:rsid w:val="00EA37D1"/>
    <w:rsid w:val="00EB0164"/>
    <w:rsid w:val="00EC6ECB"/>
    <w:rsid w:val="00ED06E3"/>
    <w:rsid w:val="00ED0F62"/>
    <w:rsid w:val="00F07058"/>
    <w:rsid w:val="00F140C1"/>
    <w:rsid w:val="00F51DFC"/>
    <w:rsid w:val="00F57A14"/>
    <w:rsid w:val="00F662F2"/>
    <w:rsid w:val="00F74707"/>
    <w:rsid w:val="00F774D2"/>
    <w:rsid w:val="00F90479"/>
    <w:rsid w:val="00F93FBE"/>
    <w:rsid w:val="00FB2ED1"/>
    <w:rsid w:val="00FD0EF9"/>
    <w:rsid w:val="00FE2DF7"/>
    <w:rsid w:val="01260C71"/>
    <w:rsid w:val="0148246F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3B735B"/>
    <w:rsid w:val="08767210"/>
    <w:rsid w:val="0884117F"/>
    <w:rsid w:val="08851DD7"/>
    <w:rsid w:val="08A65A0B"/>
    <w:rsid w:val="08C22483"/>
    <w:rsid w:val="08E03A80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BF572A8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DF67BD1"/>
    <w:rsid w:val="0E2D75AB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ED2211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887B9B"/>
    <w:rsid w:val="16A30791"/>
    <w:rsid w:val="16AB3CAD"/>
    <w:rsid w:val="16BA3F49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2A3D81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375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410887"/>
    <w:rsid w:val="269B74E0"/>
    <w:rsid w:val="269C7CAD"/>
    <w:rsid w:val="26DD3CA5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D441A"/>
    <w:rsid w:val="2BFE5B20"/>
    <w:rsid w:val="2C2E44D4"/>
    <w:rsid w:val="2C486A96"/>
    <w:rsid w:val="2C6D435A"/>
    <w:rsid w:val="2C7B6C71"/>
    <w:rsid w:val="2CA2368F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25293"/>
    <w:rsid w:val="311452F1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2E75811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44ACF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756E7F"/>
    <w:rsid w:val="3BAB4C5D"/>
    <w:rsid w:val="3BEE1D6F"/>
    <w:rsid w:val="3BF1473C"/>
    <w:rsid w:val="3C1D592B"/>
    <w:rsid w:val="3C5211A4"/>
    <w:rsid w:val="3C543264"/>
    <w:rsid w:val="3C5C5688"/>
    <w:rsid w:val="3C6633BD"/>
    <w:rsid w:val="3CA475E5"/>
    <w:rsid w:val="3CA717F2"/>
    <w:rsid w:val="3CC445CD"/>
    <w:rsid w:val="3CC56579"/>
    <w:rsid w:val="3CE61AB3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CE6363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96579A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AB2828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3F72E2"/>
    <w:rsid w:val="4A5548A9"/>
    <w:rsid w:val="4A8610DE"/>
    <w:rsid w:val="4A937655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CE57F93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985CAB"/>
    <w:rsid w:val="4EAA463D"/>
    <w:rsid w:val="4EFE4539"/>
    <w:rsid w:val="4F594843"/>
    <w:rsid w:val="4F88590D"/>
    <w:rsid w:val="503C3BCC"/>
    <w:rsid w:val="50AE7138"/>
    <w:rsid w:val="50C41CF1"/>
    <w:rsid w:val="50F01F62"/>
    <w:rsid w:val="51217DA6"/>
    <w:rsid w:val="51294703"/>
    <w:rsid w:val="51425A27"/>
    <w:rsid w:val="5158757E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B87D13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164DCE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59523D"/>
    <w:rsid w:val="616336B3"/>
    <w:rsid w:val="61744854"/>
    <w:rsid w:val="617B4539"/>
    <w:rsid w:val="61857CB5"/>
    <w:rsid w:val="618F58DC"/>
    <w:rsid w:val="619A179D"/>
    <w:rsid w:val="61E77A7E"/>
    <w:rsid w:val="62257ECD"/>
    <w:rsid w:val="622A4138"/>
    <w:rsid w:val="62385483"/>
    <w:rsid w:val="62385A6C"/>
    <w:rsid w:val="62514BE0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812BA2"/>
    <w:rsid w:val="649C75C9"/>
    <w:rsid w:val="64A537DD"/>
    <w:rsid w:val="64B51DAE"/>
    <w:rsid w:val="64B62A61"/>
    <w:rsid w:val="64B96E85"/>
    <w:rsid w:val="64BB6795"/>
    <w:rsid w:val="64D069A0"/>
    <w:rsid w:val="64D1532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40416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D82665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E7906"/>
    <w:rsid w:val="7E0A78B3"/>
    <w:rsid w:val="7E2912F3"/>
    <w:rsid w:val="7E581D65"/>
    <w:rsid w:val="7E6305EF"/>
    <w:rsid w:val="7E8D50F9"/>
    <w:rsid w:val="7EBA6AA6"/>
    <w:rsid w:val="7ED713AA"/>
    <w:rsid w:val="7EDA5201"/>
    <w:rsid w:val="7EE7304B"/>
    <w:rsid w:val="7EEE63E6"/>
    <w:rsid w:val="7F3205C6"/>
    <w:rsid w:val="7F541664"/>
    <w:rsid w:val="7F5737FE"/>
    <w:rsid w:val="7F697999"/>
    <w:rsid w:val="7F9026D0"/>
    <w:rsid w:val="7F984417"/>
    <w:rsid w:val="7FBB5651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1035</Words>
  <Characters>5900</Characters>
  <Lines>49</Lines>
  <Paragraphs>13</Paragraphs>
  <TotalTime>0</TotalTime>
  <ScaleCrop>false</ScaleCrop>
  <LinksUpToDate>false</LinksUpToDate>
  <CharactersWithSpaces>6922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肖新龙</cp:lastModifiedBy>
  <dcterms:modified xsi:type="dcterms:W3CDTF">2022-10-10T08:09:56Z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18BF3208F4304FA3A178AFDC0D08FE43</vt:lpwstr>
  </property>
</Properties>
</file>