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70"/>
        <w:gridCol w:w="4"/>
        <w:gridCol w:w="15"/>
        <w:gridCol w:w="921"/>
        <w:gridCol w:w="1"/>
        <w:gridCol w:w="742"/>
        <w:gridCol w:w="2"/>
        <w:gridCol w:w="7"/>
        <w:gridCol w:w="9516"/>
        <w:gridCol w:w="1290"/>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515" w:hRule="atLeast"/>
        </w:trPr>
        <w:tc>
          <w:tcPr>
            <w:tcW w:w="2174" w:type="dxa"/>
            <w:gridSpan w:val="2"/>
            <w:vMerge w:val="restart"/>
            <w:shd w:val="clear" w:color="auto" w:fill="auto"/>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shd w:val="clear" w:color="auto" w:fill="auto"/>
            <w:vAlign w:val="center"/>
          </w:tcPr>
          <w:p>
            <w:pPr>
              <w:rPr>
                <w:sz w:val="24"/>
                <w:szCs w:val="24"/>
              </w:rPr>
            </w:pPr>
            <w:r>
              <w:rPr>
                <w:sz w:val="24"/>
                <w:szCs w:val="24"/>
              </w:rPr>
              <w:t>涉及</w:t>
            </w:r>
          </w:p>
          <w:p>
            <w:r>
              <w:rPr>
                <w:sz w:val="24"/>
                <w:szCs w:val="24"/>
              </w:rPr>
              <w:t>条款</w:t>
            </w:r>
          </w:p>
        </w:tc>
        <w:tc>
          <w:tcPr>
            <w:tcW w:w="10268" w:type="dxa"/>
            <w:gridSpan w:val="5"/>
            <w:shd w:val="clear" w:color="auto" w:fill="auto"/>
            <w:vAlign w:val="center"/>
          </w:tcPr>
          <w:p>
            <w:pPr>
              <w:rPr>
                <w:rFonts w:hint="eastAsia" w:eastAsia="宋体"/>
                <w:sz w:val="24"/>
                <w:szCs w:val="24"/>
                <w:lang w:val="en-US" w:eastAsia="zh-CN"/>
              </w:rPr>
            </w:pPr>
            <w:r>
              <w:rPr>
                <w:sz w:val="24"/>
                <w:szCs w:val="24"/>
              </w:rPr>
              <w:t xml:space="preserve">受审核部门：食品安全小组    </w:t>
            </w:r>
            <w:r>
              <w:rPr>
                <w:color w:val="000000"/>
                <w:sz w:val="24"/>
                <w:szCs w:val="24"/>
              </w:rPr>
              <w:t>主管领导：</w:t>
            </w:r>
            <w:r>
              <w:rPr>
                <w:rFonts w:hint="eastAsia"/>
                <w:color w:val="000000"/>
                <w:sz w:val="24"/>
                <w:szCs w:val="24"/>
                <w:lang w:val="en-US" w:eastAsia="zh-CN"/>
              </w:rPr>
              <w:t xml:space="preserve">王文胜 </w:t>
            </w:r>
            <w:r>
              <w:rPr>
                <w:color w:val="000000"/>
                <w:sz w:val="24"/>
                <w:szCs w:val="24"/>
              </w:rPr>
              <w:t xml:space="preserve"> </w:t>
            </w:r>
            <w:r>
              <w:rPr>
                <w:rFonts w:hint="eastAsia"/>
                <w:color w:val="000000"/>
                <w:sz w:val="24"/>
                <w:szCs w:val="24"/>
                <w:lang w:val="en-US" w:eastAsia="zh-CN"/>
              </w:rPr>
              <w:t xml:space="preserve">  </w:t>
            </w:r>
            <w:r>
              <w:rPr>
                <w:color w:val="000000"/>
                <w:sz w:val="24"/>
                <w:szCs w:val="24"/>
              </w:rPr>
              <w:t xml:space="preserve"> 陪同人员：</w:t>
            </w:r>
            <w:r>
              <w:rPr>
                <w:rFonts w:hint="eastAsia"/>
                <w:color w:val="000000"/>
                <w:sz w:val="24"/>
                <w:szCs w:val="24"/>
                <w:lang w:val="en-US" w:eastAsia="zh-CN"/>
              </w:rPr>
              <w:t>刘建敏</w:t>
            </w:r>
            <w:bookmarkStart w:id="0" w:name="_GoBack"/>
            <w:bookmarkEnd w:id="0"/>
          </w:p>
        </w:tc>
        <w:tc>
          <w:tcPr>
            <w:tcW w:w="1290" w:type="dxa"/>
            <w:vMerge w:val="restart"/>
            <w:shd w:val="clear" w:color="auto" w:fill="auto"/>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03" w:hRule="atLeast"/>
        </w:trPr>
        <w:tc>
          <w:tcPr>
            <w:tcW w:w="2174" w:type="dxa"/>
            <w:gridSpan w:val="2"/>
            <w:vMerge w:val="continue"/>
            <w:shd w:val="clear" w:color="auto" w:fill="auto"/>
            <w:vAlign w:val="center"/>
          </w:tcPr>
          <w:p/>
        </w:tc>
        <w:tc>
          <w:tcPr>
            <w:tcW w:w="936" w:type="dxa"/>
            <w:gridSpan w:val="2"/>
            <w:vMerge w:val="continue"/>
            <w:shd w:val="clear" w:color="auto" w:fill="auto"/>
            <w:vAlign w:val="center"/>
          </w:tcPr>
          <w:p/>
        </w:tc>
        <w:tc>
          <w:tcPr>
            <w:tcW w:w="10268" w:type="dxa"/>
            <w:gridSpan w:val="5"/>
            <w:shd w:val="clear" w:color="auto" w:fill="auto"/>
            <w:vAlign w:val="center"/>
          </w:tcPr>
          <w:p>
            <w:pPr>
              <w:spacing w:before="120"/>
              <w:rPr>
                <w:rFonts w:hint="default" w:eastAsia="宋体"/>
                <w:lang w:val="en-US" w:eastAsia="zh-CN"/>
              </w:rPr>
            </w:pPr>
            <w:r>
              <w:rPr>
                <w:sz w:val="24"/>
                <w:szCs w:val="24"/>
              </w:rPr>
              <w:t>审核员：</w:t>
            </w:r>
            <w:r>
              <w:rPr>
                <w:rFonts w:hint="eastAsia"/>
                <w:sz w:val="24"/>
                <w:szCs w:val="24"/>
                <w:lang w:val="en-US" w:eastAsia="zh-CN"/>
              </w:rPr>
              <w:t>肖新龙</w:t>
            </w:r>
            <w:r>
              <w:rPr>
                <w:sz w:val="24"/>
                <w:szCs w:val="24"/>
              </w:rPr>
              <w:t xml:space="preserve">   </w:t>
            </w:r>
            <w:r>
              <w:rPr>
                <w:rFonts w:hint="eastAsia"/>
                <w:sz w:val="24"/>
                <w:szCs w:val="24"/>
              </w:rPr>
              <w:t xml:space="preserve">     </w:t>
            </w:r>
            <w:r>
              <w:rPr>
                <w:sz w:val="24"/>
                <w:szCs w:val="24"/>
              </w:rPr>
              <w:t xml:space="preserve">   审核日期：202</w:t>
            </w:r>
            <w:r>
              <w:rPr>
                <w:rFonts w:hint="eastAsia"/>
                <w:sz w:val="24"/>
                <w:szCs w:val="24"/>
                <w:lang w:val="en-US" w:eastAsia="zh-CN"/>
              </w:rPr>
              <w:t>2-10-09下午</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516" w:hRule="atLeast"/>
        </w:trPr>
        <w:tc>
          <w:tcPr>
            <w:tcW w:w="2174" w:type="dxa"/>
            <w:gridSpan w:val="2"/>
            <w:vMerge w:val="continue"/>
            <w:shd w:val="clear" w:color="auto" w:fill="auto"/>
            <w:vAlign w:val="center"/>
          </w:tcPr>
          <w:p/>
        </w:tc>
        <w:tc>
          <w:tcPr>
            <w:tcW w:w="936" w:type="dxa"/>
            <w:gridSpan w:val="2"/>
            <w:vMerge w:val="continue"/>
            <w:shd w:val="clear" w:color="auto" w:fill="auto"/>
            <w:vAlign w:val="center"/>
          </w:tcPr>
          <w:p/>
        </w:tc>
        <w:tc>
          <w:tcPr>
            <w:tcW w:w="10268" w:type="dxa"/>
            <w:gridSpan w:val="5"/>
            <w:shd w:val="clear" w:color="auto" w:fill="auto"/>
            <w:vAlign w:val="center"/>
          </w:tcPr>
          <w:p>
            <w:pPr>
              <w:tabs>
                <w:tab w:val="left" w:pos="6030"/>
              </w:tabs>
              <w:autoSpaceDE w:val="0"/>
              <w:autoSpaceDN w:val="0"/>
              <w:adjustRightInd w:val="0"/>
              <w:jc w:val="left"/>
              <w:rPr>
                <w:rFonts w:hint="default" w:eastAsia="宋体"/>
                <w:lang w:val="en-US" w:eastAsia="zh-CN"/>
              </w:rPr>
            </w:pPr>
            <w:r>
              <w:t>审核条款：FSMS:5.3/7.1.5/8.1/8.2/8.5/8.6/8.8</w:t>
            </w:r>
            <w:r>
              <w:rPr>
                <w:rFonts w:hint="eastAsia"/>
                <w:lang w:val="en-US" w:eastAsia="zh-CN"/>
              </w:rPr>
              <w:t>/8.9.5</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43" w:hRule="atLeast"/>
        </w:trPr>
        <w:tc>
          <w:tcPr>
            <w:tcW w:w="2174" w:type="dxa"/>
            <w:gridSpan w:val="2"/>
            <w:vMerge w:val="restart"/>
            <w:shd w:val="clear" w:color="auto" w:fill="auto"/>
          </w:tcPr>
          <w:p>
            <w:r>
              <w:t>组织的角色、职责和权限</w:t>
            </w:r>
          </w:p>
        </w:tc>
        <w:tc>
          <w:tcPr>
            <w:tcW w:w="936" w:type="dxa"/>
            <w:gridSpan w:val="2"/>
            <w:vMerge w:val="restart"/>
            <w:shd w:val="clear" w:color="auto" w:fill="auto"/>
          </w:tcPr>
          <w:p>
            <w:r>
              <w:t>F5.3</w:t>
            </w:r>
          </w:p>
        </w:tc>
        <w:tc>
          <w:tcPr>
            <w:tcW w:w="745" w:type="dxa"/>
            <w:gridSpan w:val="3"/>
            <w:shd w:val="clear" w:color="auto" w:fill="auto"/>
          </w:tcPr>
          <w:p>
            <w:r>
              <w:t>文件名称</w:t>
            </w:r>
          </w:p>
        </w:tc>
        <w:tc>
          <w:tcPr>
            <w:tcW w:w="9523" w:type="dxa"/>
            <w:gridSpan w:val="2"/>
            <w:shd w:val="clear" w:color="auto" w:fill="auto"/>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290" w:type="dxa"/>
            <w:vMerge w:val="restart"/>
            <w:shd w:val="clear" w:color="auto" w:fill="auto"/>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2900" w:hRule="atLeast"/>
        </w:trPr>
        <w:tc>
          <w:tcPr>
            <w:tcW w:w="2174" w:type="dxa"/>
            <w:gridSpan w:val="2"/>
            <w:vMerge w:val="continue"/>
            <w:shd w:val="clear" w:color="auto" w:fill="auto"/>
          </w:tcPr>
          <w:p/>
        </w:tc>
        <w:tc>
          <w:tcPr>
            <w:tcW w:w="936" w:type="dxa"/>
            <w:gridSpan w:val="2"/>
            <w:vMerge w:val="continue"/>
            <w:shd w:val="clear" w:color="auto" w:fill="auto"/>
          </w:tcPr>
          <w:p/>
        </w:tc>
        <w:tc>
          <w:tcPr>
            <w:tcW w:w="745" w:type="dxa"/>
            <w:gridSpan w:val="3"/>
            <w:shd w:val="clear" w:color="auto" w:fill="auto"/>
          </w:tcPr>
          <w:p>
            <w:r>
              <w:t>运行证据</w:t>
            </w:r>
          </w:p>
        </w:tc>
        <w:tc>
          <w:tcPr>
            <w:tcW w:w="9523" w:type="dxa"/>
            <w:gridSpan w:val="2"/>
            <w:shd w:val="clear" w:color="auto" w:fill="auto"/>
          </w:tcPr>
          <w:p>
            <w:r>
              <w:t>有食品安全小组名单，包括了</w:t>
            </w:r>
            <w:r>
              <w:rPr>
                <w:rFonts w:hint="eastAsia"/>
              </w:rPr>
              <w:t xml:space="preserve"> </w:t>
            </w:r>
            <w:r>
              <w:rPr>
                <w:rFonts w:hint="eastAsia"/>
                <w:bCs/>
                <w:u w:val="single"/>
                <w:lang w:val="en-US" w:eastAsia="zh-CN"/>
              </w:rPr>
              <w:t>办公室、生产部、质检部、采购部</w:t>
            </w:r>
            <w:r>
              <w:rPr>
                <w:rFonts w:hint="eastAsia"/>
                <w:bCs/>
                <w:u w:val="single"/>
              </w:rPr>
              <w:t xml:space="preserve">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u w:val="single"/>
              </w:rPr>
              <w:t>郭鹏磊</w:t>
            </w:r>
            <w:r>
              <w:rPr>
                <w:rFonts w:hint="eastAsia" w:ascii="宋体" w:hAnsi="宋体"/>
                <w:szCs w:val="21"/>
                <w:u w:val="single"/>
                <w:lang w:val="en-US" w:eastAsia="zh-CN"/>
              </w:rPr>
              <w:t>、王文胜</w:t>
            </w:r>
            <w:r>
              <w:t>，基本清楚。</w:t>
            </w:r>
          </w:p>
          <w:p>
            <w:pPr>
              <w:pStyle w:val="2"/>
              <w:rPr>
                <w:rFonts w:ascii="Times New Roman" w:hAnsi="Times New Roman"/>
              </w:rPr>
            </w:pPr>
          </w:p>
          <w:p>
            <w:pPr>
              <w:rPr>
                <w:rFonts w:hint="eastAsia" w:eastAsia="宋体"/>
                <w:lang w:eastAsia="zh-CN"/>
              </w:rPr>
            </w:pPr>
            <w:r>
              <w:fldChar w:fldCharType="begin"/>
            </w:r>
            <w:r>
              <w:instrText xml:space="preserve"> eq \o\ac(□,√)</w:instrText>
            </w:r>
            <w:r>
              <w:fldChar w:fldCharType="end"/>
            </w:r>
            <w:r>
              <w:rPr>
                <w:rFonts w:hint="eastAsia"/>
                <w:lang w:val="en-US" w:eastAsia="zh-CN"/>
              </w:rPr>
              <w:t>食品安全小组</w:t>
            </w:r>
            <w:r>
              <w:t>组长：</w:t>
            </w:r>
            <w:r>
              <w:rPr>
                <w:rFonts w:hint="eastAsia"/>
                <w:u w:val="single"/>
                <w:lang w:val="en-US" w:eastAsia="zh-CN"/>
              </w:rPr>
              <w:t>王文胜 先生</w:t>
            </w:r>
            <w:r>
              <w:rPr>
                <w:u w:val="single"/>
              </w:rPr>
              <w:t xml:space="preserve">    </w:t>
            </w:r>
            <w:r>
              <w:t>，</w:t>
            </w:r>
            <w:r>
              <w:rPr>
                <w:rFonts w:hint="eastAsia"/>
                <w:lang w:eastAsia="zh-CN"/>
              </w:rPr>
              <w:t>（</w:t>
            </w:r>
            <w:r>
              <w:rPr>
                <w:rFonts w:hint="eastAsia"/>
                <w:lang w:val="en-US" w:eastAsia="zh-CN"/>
              </w:rPr>
              <w:t>审核周期内食品安全小组成员未发生变化</w:t>
            </w:r>
            <w:r>
              <w:rPr>
                <w:rFonts w:hint="eastAsia"/>
                <w:lang w:eastAsia="zh-CN"/>
              </w:rP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615" w:hRule="atLeast"/>
        </w:trPr>
        <w:tc>
          <w:tcPr>
            <w:tcW w:w="2174" w:type="dxa"/>
            <w:gridSpan w:val="2"/>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gridSpan w:val="3"/>
            <w:shd w:val="clear" w:color="auto" w:fill="auto"/>
          </w:tcPr>
          <w:p>
            <w:r>
              <w:rPr>
                <w:rFonts w:hint="eastAsia"/>
              </w:rPr>
              <w:t>文件名称</w:t>
            </w:r>
          </w:p>
        </w:tc>
        <w:tc>
          <w:tcPr>
            <w:tcW w:w="9523"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290"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3129" w:hRule="atLeast"/>
        </w:trPr>
        <w:tc>
          <w:tcPr>
            <w:tcW w:w="2174" w:type="dxa"/>
            <w:gridSpan w:val="2"/>
            <w:vMerge w:val="continue"/>
            <w:shd w:val="clear" w:color="auto" w:fill="auto"/>
          </w:tcPr>
          <w:p/>
        </w:tc>
        <w:tc>
          <w:tcPr>
            <w:tcW w:w="936" w:type="dxa"/>
            <w:gridSpan w:val="2"/>
            <w:vMerge w:val="continue"/>
            <w:shd w:val="clear" w:color="auto" w:fill="auto"/>
          </w:tcPr>
          <w:p/>
        </w:tc>
        <w:tc>
          <w:tcPr>
            <w:tcW w:w="745" w:type="dxa"/>
            <w:gridSpan w:val="3"/>
            <w:shd w:val="clear" w:color="auto" w:fill="auto"/>
          </w:tcPr>
          <w:p>
            <w:r>
              <w:rPr>
                <w:rFonts w:hint="eastAsia"/>
              </w:rPr>
              <w:t>运行证据</w:t>
            </w:r>
          </w:p>
        </w:tc>
        <w:tc>
          <w:tcPr>
            <w:tcW w:w="9523" w:type="dxa"/>
            <w:gridSpan w:val="2"/>
            <w:shd w:val="clear" w:color="auto" w:fill="auto"/>
          </w:tcPr>
          <w:p>
            <w:pPr>
              <w:rPr>
                <w:rFonts w:hint="default" w:eastAsia="宋体"/>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企业自己建立FSMS</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68" w:hRule="atLeast"/>
        </w:trPr>
        <w:tc>
          <w:tcPr>
            <w:tcW w:w="2174" w:type="dxa"/>
            <w:gridSpan w:val="2"/>
            <w:vMerge w:val="restart"/>
            <w:shd w:val="clear" w:color="auto" w:fill="auto"/>
          </w:tcPr>
          <w:p>
            <w:r>
              <w:t>运行策划和控制</w:t>
            </w:r>
          </w:p>
        </w:tc>
        <w:tc>
          <w:tcPr>
            <w:tcW w:w="936" w:type="dxa"/>
            <w:gridSpan w:val="2"/>
            <w:vMerge w:val="restart"/>
            <w:shd w:val="clear" w:color="auto" w:fill="auto"/>
          </w:tcPr>
          <w:p>
            <w:r>
              <w:t>F8.1</w:t>
            </w:r>
          </w:p>
        </w:tc>
        <w:tc>
          <w:tcPr>
            <w:tcW w:w="745" w:type="dxa"/>
            <w:gridSpan w:val="3"/>
            <w:shd w:val="clear" w:color="auto" w:fill="auto"/>
          </w:tcPr>
          <w:p>
            <w:r>
              <w:t>文件名称</w:t>
            </w:r>
          </w:p>
        </w:tc>
        <w:tc>
          <w:tcPr>
            <w:tcW w:w="9523" w:type="dxa"/>
            <w:gridSpan w:val="2"/>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lang w:val="en-US" w:eastAsia="zh-CN"/>
              </w:rPr>
              <w:t>人力资源管理程序</w:t>
            </w:r>
            <w:r>
              <w:t>》</w:t>
            </w:r>
            <w:r>
              <w:rPr>
                <w:rFonts w:hint="eastAsia"/>
                <w:lang w:eastAsia="zh-CN"/>
              </w:rPr>
              <w:t>、</w:t>
            </w:r>
            <w:r>
              <w:rPr/>
              <w:sym w:font="Wingdings" w:char="00A8"/>
            </w:r>
            <w:r>
              <w:t>《能力和意识控制程序》</w:t>
            </w:r>
          </w:p>
        </w:tc>
        <w:tc>
          <w:tcPr>
            <w:tcW w:w="129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3874" w:hRule="atLeast"/>
        </w:trPr>
        <w:tc>
          <w:tcPr>
            <w:tcW w:w="2174" w:type="dxa"/>
            <w:gridSpan w:val="2"/>
            <w:vMerge w:val="continue"/>
            <w:shd w:val="clear" w:color="auto" w:fill="auto"/>
          </w:tcPr>
          <w:p/>
        </w:tc>
        <w:tc>
          <w:tcPr>
            <w:tcW w:w="936" w:type="dxa"/>
            <w:gridSpan w:val="2"/>
            <w:vMerge w:val="continue"/>
            <w:shd w:val="clear" w:color="auto" w:fill="auto"/>
          </w:tcPr>
          <w:p/>
        </w:tc>
        <w:tc>
          <w:tcPr>
            <w:tcW w:w="745" w:type="dxa"/>
            <w:gridSpan w:val="3"/>
            <w:shd w:val="clear" w:color="auto" w:fill="auto"/>
          </w:tcPr>
          <w:p>
            <w:r>
              <w:t>运行证据</w:t>
            </w:r>
          </w:p>
        </w:tc>
        <w:tc>
          <w:tcPr>
            <w:tcW w:w="9523" w:type="dxa"/>
            <w:gridSpan w:val="2"/>
            <w:shd w:val="clear" w:color="auto" w:fill="auto"/>
          </w:tcPr>
          <w:p>
            <w:r>
              <w:t>组织通过采取下列措施，策划、实施、控制和更新满足要求的安全产品所必需的过程，并实施风险和机遇分析所确定的措施：</w:t>
            </w:r>
          </w:p>
          <w:p>
            <w:pPr>
              <w:numPr>
                <w:ilvl w:val="0"/>
                <w:numId w:val="1"/>
              </w:numPr>
            </w:pPr>
            <w:r>
              <w:t>为过程建立评价准则：</w:t>
            </w:r>
          </w:p>
          <w:p>
            <w:pPr>
              <w:rPr>
                <w:sz w:val="21"/>
                <w:szCs w:val="21"/>
              </w:rPr>
            </w:pPr>
            <w:r>
              <w:t xml:space="preserve">   </w:t>
            </w:r>
            <w:r>
              <w:rPr>
                <w:sz w:val="21"/>
                <w:szCs w:val="21"/>
              </w:rPr>
              <w:t xml:space="preserve">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color w:val="000000"/>
                <w:sz w:val="21"/>
                <w:szCs w:val="21"/>
              </w:rPr>
              <w:t xml:space="preserve">前提方案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rFonts w:hint="eastAsia"/>
                <w:sz w:val="21"/>
                <w:szCs w:val="21"/>
                <w:lang w:val="en-US" w:eastAsia="zh-CN"/>
              </w:rPr>
              <w:t>危害控制计划</w:t>
            </w:r>
            <w:r>
              <w:rPr>
                <w:sz w:val="21"/>
                <w:szCs w:val="21"/>
              </w:rPr>
              <w:t xml:space="preserve">   </w:t>
            </w:r>
          </w:p>
          <w:p>
            <w:pPr>
              <w:ind w:firstLine="420" w:firstLineChars="200"/>
              <w:rPr>
                <w:sz w:val="21"/>
                <w:szCs w:val="21"/>
              </w:rPr>
            </w:pP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 xml:space="preserve">原材料和接触材料特性描述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终产品特性描述</w:t>
            </w:r>
          </w:p>
          <w:p>
            <w:pPr>
              <w:numPr>
                <w:ilvl w:val="0"/>
                <w:numId w:val="1"/>
              </w:numPr>
            </w:pPr>
            <w:r>
              <w:t>按照准则实施过程控制；</w:t>
            </w:r>
          </w:p>
          <w:p>
            <w:pPr>
              <w:rPr>
                <w:rFonts w:hint="eastAsia" w:eastAsia="宋体"/>
                <w:u w:val="single"/>
                <w:lang w:val="en-US" w:eastAsia="zh-CN"/>
              </w:rPr>
            </w:pPr>
            <w:r>
              <w:t xml:space="preserve">  </w:t>
            </w:r>
            <w:r>
              <w:rPr>
                <w:u w:val="single"/>
              </w:rPr>
              <w:t xml:space="preserve"> 见</w:t>
            </w:r>
            <w:r>
              <w:rPr>
                <w:rFonts w:hint="eastAsia"/>
                <w:u w:val="single"/>
                <w:lang w:val="en-US" w:eastAsia="zh-CN"/>
              </w:rPr>
              <w:t>各部门</w:t>
            </w:r>
            <w:r>
              <w:rPr>
                <w:u w:val="single"/>
              </w:rPr>
              <w:t>《控制记录》和《检查记录》</w:t>
            </w:r>
            <w:r>
              <w:rPr>
                <w:rFonts w:hint="eastAsia"/>
                <w:u w:val="single"/>
                <w:lang w:val="en-US" w:eastAsia="zh-CN"/>
              </w:rPr>
              <w:t>等</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pPr>
              <w:rPr>
                <w:rFonts w:hint="default" w:eastAsia="宋体"/>
                <w:lang w:val="en-US" w:eastAsia="zh-CN"/>
              </w:rPr>
            </w:pPr>
            <w:r>
              <w:rPr>
                <w:rFonts w:hint="eastAsia"/>
              </w:rPr>
              <w:t>若存在外包过程，</w:t>
            </w:r>
            <w:r>
              <w:t>外包过程的控制（见7.1.6）</w:t>
            </w:r>
            <w:r>
              <w:rPr>
                <w:rFonts w:hint="eastAsia"/>
                <w:color w:val="0000FF"/>
                <w:lang w:eastAsia="zh-CN"/>
              </w:rPr>
              <w:t>——</w:t>
            </w:r>
            <w:r>
              <w:rPr>
                <w:rFonts w:hint="eastAsia"/>
                <w:color w:val="0000FF"/>
                <w:lang w:val="en-US" w:eastAsia="zh-CN"/>
              </w:rPr>
              <w:t>审核周期内无外包过程</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68" w:hRule="atLeast"/>
        </w:trPr>
        <w:tc>
          <w:tcPr>
            <w:tcW w:w="2174" w:type="dxa"/>
            <w:gridSpan w:val="2"/>
            <w:vMerge w:val="restart"/>
            <w:shd w:val="clear" w:color="auto" w:fill="auto"/>
          </w:tcPr>
          <w:p>
            <w:r>
              <w:t>前提方案（PRP）</w:t>
            </w:r>
          </w:p>
        </w:tc>
        <w:tc>
          <w:tcPr>
            <w:tcW w:w="936" w:type="dxa"/>
            <w:gridSpan w:val="2"/>
            <w:vMerge w:val="restart"/>
            <w:shd w:val="clear" w:color="auto" w:fill="auto"/>
          </w:tcPr>
          <w:p>
            <w:r>
              <w:t>F8.2</w:t>
            </w:r>
          </w:p>
        </w:tc>
        <w:tc>
          <w:tcPr>
            <w:tcW w:w="745" w:type="dxa"/>
            <w:gridSpan w:val="3"/>
            <w:shd w:val="clear" w:color="auto" w:fill="auto"/>
          </w:tcPr>
          <w:p>
            <w:r>
              <w:t>文件名称</w:t>
            </w:r>
          </w:p>
        </w:tc>
        <w:tc>
          <w:tcPr>
            <w:tcW w:w="9523" w:type="dxa"/>
            <w:gridSpan w:val="2"/>
            <w:shd w:val="clear" w:color="auto" w:fill="auto"/>
          </w:tcPr>
          <w:p>
            <w:r>
              <w:t>如：</w:t>
            </w:r>
            <w:r>
              <w:fldChar w:fldCharType="begin"/>
            </w:r>
            <w:r>
              <w:instrText xml:space="preserve"> eq \o\ac(□,√)</w:instrText>
            </w:r>
            <w:r>
              <w:fldChar w:fldCharType="end"/>
            </w:r>
            <w:r>
              <w:t>《前提方案》</w:t>
            </w:r>
          </w:p>
        </w:tc>
        <w:tc>
          <w:tcPr>
            <w:tcW w:w="129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90" w:hRule="atLeast"/>
        </w:trPr>
        <w:tc>
          <w:tcPr>
            <w:tcW w:w="2174" w:type="dxa"/>
            <w:gridSpan w:val="2"/>
            <w:vMerge w:val="continue"/>
            <w:shd w:val="clear" w:color="auto" w:fill="auto"/>
          </w:tcPr>
          <w:p/>
        </w:tc>
        <w:tc>
          <w:tcPr>
            <w:tcW w:w="936" w:type="dxa"/>
            <w:gridSpan w:val="2"/>
            <w:vMerge w:val="continue"/>
            <w:shd w:val="clear" w:color="auto" w:fill="auto"/>
          </w:tcPr>
          <w:p/>
        </w:tc>
        <w:tc>
          <w:tcPr>
            <w:tcW w:w="745" w:type="dxa"/>
            <w:gridSpan w:val="3"/>
            <w:shd w:val="clear" w:color="auto" w:fill="auto"/>
          </w:tcPr>
          <w:p>
            <w:r>
              <w:t>运行证据</w:t>
            </w:r>
          </w:p>
        </w:tc>
        <w:tc>
          <w:tcPr>
            <w:tcW w:w="9523" w:type="dxa"/>
            <w:gridSpan w:val="2"/>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 w:val="21"/>
                <w:szCs w:val="21"/>
                <w:u w:val="single"/>
              </w:rPr>
              <w:t xml:space="preserve"> GB 14881-2013 </w:t>
            </w:r>
            <w:r>
              <w:rPr>
                <w:rFonts w:hint="eastAsia"/>
                <w:color w:val="000000"/>
                <w:sz w:val="21"/>
                <w:szCs w:val="21"/>
                <w:u w:val="single"/>
                <w:lang w:eastAsia="zh-CN"/>
              </w:rPr>
              <w:t>《</w:t>
            </w:r>
            <w:r>
              <w:rPr>
                <w:rFonts w:hint="eastAsia"/>
                <w:color w:val="000000"/>
                <w:sz w:val="21"/>
                <w:szCs w:val="21"/>
                <w:u w:val="single"/>
              </w:rPr>
              <w:t>食品安全国家标准 食品生产通用卫生规范</w:t>
            </w:r>
            <w:r>
              <w:rPr>
                <w:rFonts w:hint="eastAsia"/>
                <w:color w:val="000000"/>
                <w:sz w:val="21"/>
                <w:szCs w:val="21"/>
                <w:u w:val="single"/>
                <w:lang w:eastAsia="zh-CN"/>
              </w:rPr>
              <w:t>》</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w:t>
            </w:r>
            <w:r>
              <w:rPr>
                <w:rFonts w:hint="eastAsia"/>
                <w:u w:val="single"/>
                <w:lang w:val="en-US" w:eastAsia="zh-CN"/>
              </w:rPr>
              <w:t>2</w:t>
            </w:r>
            <w:r>
              <w:rPr>
                <w:u w:val="single"/>
              </w:rPr>
              <w:t xml:space="preserve">月 </w:t>
            </w:r>
            <w:r>
              <w:rPr>
                <w:rFonts w:hint="eastAsia"/>
                <w:u w:val="single"/>
                <w:lang w:val="en-US" w:eastAsia="zh-CN"/>
              </w:rPr>
              <w:t>1</w:t>
            </w:r>
            <w:r>
              <w:rPr>
                <w:u w:val="single"/>
              </w:rPr>
              <w:t xml:space="preserve"> 日  </w:t>
            </w:r>
            <w:r>
              <w:rPr>
                <w:rFonts w:hint="eastAsia"/>
                <w:u w:val="single"/>
                <w:lang w:eastAsia="zh-CN"/>
              </w:rPr>
              <w:t>【</w:t>
            </w:r>
            <w:r>
              <w:rPr>
                <w:rFonts w:hint="eastAsia"/>
                <w:u w:val="single"/>
                <w:lang w:val="en-US" w:eastAsia="zh-CN"/>
              </w:rPr>
              <w:t>审核周期内未发生变化</w:t>
            </w:r>
            <w:r>
              <w:rPr>
                <w:rFonts w:hint="eastAsia"/>
                <w:u w:val="single"/>
                <w:lang w:eastAsia="zh-CN"/>
              </w:rPr>
              <w:t>】</w:t>
            </w:r>
            <w:r>
              <w:rPr>
                <w:u w:val="single"/>
              </w:rPr>
              <w:t xml:space="preserve">       </w:t>
            </w:r>
          </w:p>
          <w:p>
            <w:pPr>
              <w:rPr>
                <w:highlight w:val="cyan"/>
              </w:rPr>
            </w:pPr>
          </w:p>
          <w:p>
            <w:r>
              <w:t>8. 2. 3 当选择和（或） 制定前提方案（PRPs） 时， 组织应考虑：</w:t>
            </w:r>
          </w:p>
          <w:p>
            <w:r>
              <w:t>1)  ISO/TS 22002系列适用技术规范；</w:t>
            </w:r>
          </w:p>
          <w:p>
            <w:pPr>
              <w:ind w:firstLine="420" w:firstLineChars="200"/>
            </w:pPr>
            <w:r>
              <w:rPr/>
              <w:sym w:font="Wingdings" w:char="00FE"/>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2"/>
            </w:pPr>
          </w:p>
          <w:p>
            <w:r>
              <w:t>2）立法/执法要求和顾客要求；</w:t>
            </w:r>
          </w:p>
          <w:p>
            <w:pPr>
              <w:ind w:firstLine="420" w:firstLineChars="200"/>
              <w:rPr>
                <w:rFonts w:hint="eastAsia"/>
                <w:lang w:val="en-US" w:eastAsia="zh-CN"/>
              </w:rPr>
            </w:pPr>
            <w:r>
              <w:rPr/>
              <w:sym w:font="Wingdings" w:char="00FE"/>
            </w:r>
            <w:r>
              <w:t>立法执法要求：</w:t>
            </w:r>
            <w:r>
              <w:rPr>
                <w:rFonts w:hint="eastAsia"/>
                <w:lang w:val="en-US" w:eastAsia="zh-CN"/>
              </w:rPr>
              <w:t>符合相关法律法规要求</w:t>
            </w:r>
          </w:p>
          <w:p>
            <w:pPr>
              <w:ind w:firstLine="420" w:firstLineChars="200"/>
              <w:rPr>
                <w:rFonts w:hint="default" w:eastAsia="宋体"/>
                <w:lang w:val="en-US" w:eastAsia="zh-CN"/>
              </w:rPr>
            </w:pPr>
            <w:r>
              <w:rPr/>
              <w:sym w:font="Wingdings" w:char="00FE"/>
            </w:r>
            <w:r>
              <w:t>顾客要求：</w:t>
            </w:r>
            <w:r>
              <w:rPr>
                <w:rFonts w:hint="eastAsia"/>
                <w:lang w:val="en-US" w:eastAsia="zh-CN"/>
              </w:rPr>
              <w:t>产品生产日期新鲜、安全性指标符合要求，供货及时</w:t>
            </w:r>
          </w:p>
          <w:p>
            <w:r>
              <w:t>3）适用法典和指南。</w:t>
            </w:r>
          </w:p>
          <w:p>
            <w:pPr>
              <w:rPr>
                <w:highlight w:val="cyan"/>
              </w:rPr>
            </w:pPr>
            <w:r>
              <w:t xml:space="preserve">  无</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2174" w:type="dxa"/>
            <w:gridSpan w:val="2"/>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gridSpan w:val="3"/>
            <w:shd w:val="clear" w:color="auto" w:fill="auto"/>
          </w:tcPr>
          <w:p>
            <w:r>
              <w:t>文件名称</w:t>
            </w:r>
          </w:p>
        </w:tc>
        <w:tc>
          <w:tcPr>
            <w:tcW w:w="9523" w:type="dxa"/>
            <w:gridSpan w:val="2"/>
            <w:shd w:val="clear" w:color="auto" w:fill="auto"/>
          </w:tcPr>
          <w:p>
            <w:r>
              <w:t>如：</w:t>
            </w:r>
            <w:r>
              <w:fldChar w:fldCharType="begin"/>
            </w:r>
            <w:r>
              <w:instrText xml:space="preserve"> eq \o\ac(□,√)</w:instrText>
            </w:r>
            <w:r>
              <w:fldChar w:fldCharType="end"/>
            </w:r>
            <w:r>
              <w:rPr>
                <w:rFonts w:hint="eastAsia"/>
                <w:lang w:val="en-US" w:eastAsia="zh-CN"/>
              </w:rPr>
              <w:t>手册8.5条款、</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29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1410" w:hRule="atLeast"/>
        </w:trPr>
        <w:tc>
          <w:tcPr>
            <w:tcW w:w="2174" w:type="dxa"/>
            <w:gridSpan w:val="2"/>
            <w:vMerge w:val="continue"/>
            <w:shd w:val="clear" w:color="auto" w:fill="auto"/>
          </w:tcPr>
          <w:p/>
        </w:tc>
        <w:tc>
          <w:tcPr>
            <w:tcW w:w="936" w:type="dxa"/>
            <w:gridSpan w:val="2"/>
            <w:vMerge w:val="continue"/>
            <w:shd w:val="clear" w:color="auto" w:fill="auto"/>
          </w:tcPr>
          <w:p/>
        </w:tc>
        <w:tc>
          <w:tcPr>
            <w:tcW w:w="745" w:type="dxa"/>
            <w:gridSpan w:val="3"/>
            <w:shd w:val="clear" w:color="auto" w:fill="auto"/>
          </w:tcPr>
          <w:p>
            <w:r>
              <w:t>运行证据</w:t>
            </w:r>
          </w:p>
        </w:tc>
        <w:tc>
          <w:tcPr>
            <w:tcW w:w="9523" w:type="dxa"/>
            <w:gridSpan w:val="2"/>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eastAsia" w:eastAsia="宋体"/>
                <w:u w:val="single"/>
                <w:lang w:val="en-US" w:eastAsia="zh-CN"/>
              </w:rPr>
            </w:pPr>
            <w:r>
              <w:t>原材料：</w:t>
            </w:r>
            <w:r>
              <w:rPr>
                <w:u w:val="single"/>
              </w:rPr>
              <w:t xml:space="preserve">   </w:t>
            </w:r>
            <w:r>
              <w:rPr>
                <w:rFonts w:hint="eastAsia" w:ascii="宋体" w:hAnsi="宋体"/>
                <w:szCs w:val="21"/>
                <w:u w:val="single"/>
              </w:rPr>
              <w:t>花生、芝麻</w:t>
            </w:r>
            <w:r>
              <w:rPr>
                <w:rFonts w:hint="eastAsia" w:ascii="宋体" w:hAnsi="宋体"/>
                <w:szCs w:val="21"/>
                <w:u w:val="single"/>
                <w:lang w:val="en-US" w:eastAsia="zh-CN"/>
              </w:rPr>
              <w:t xml:space="preserve"> </w:t>
            </w:r>
          </w:p>
          <w:p>
            <w:pPr>
              <w:rPr>
                <w:u w:val="single"/>
              </w:rPr>
            </w:pPr>
            <w:r>
              <w:t>食品添加剂：</w:t>
            </w:r>
            <w:r>
              <w:rPr>
                <w:u w:val="single"/>
              </w:rPr>
              <w:t xml:space="preserve">        无  </w:t>
            </w:r>
          </w:p>
          <w:p>
            <w:pPr>
              <w:rPr>
                <w:u w:val="single"/>
              </w:rPr>
            </w:pPr>
            <w:r>
              <w:t>辅助材料：</w:t>
            </w:r>
            <w:r>
              <w:rPr>
                <w:u w:val="single"/>
              </w:rPr>
              <w:t xml:space="preserve">      </w:t>
            </w:r>
            <w:r>
              <w:rPr>
                <w:rFonts w:hint="eastAsia"/>
                <w:u w:val="single"/>
                <w:lang w:val="en-US" w:eastAsia="zh-CN"/>
              </w:rPr>
              <w:t>水</w:t>
            </w:r>
            <w:r>
              <w:rPr>
                <w:u w:val="single"/>
              </w:rPr>
              <w:t xml:space="preserve">     </w:t>
            </w:r>
          </w:p>
          <w:p>
            <w:pPr>
              <w:rPr>
                <w:u w:val="single"/>
              </w:rPr>
            </w:pPr>
            <w:r>
              <w:t>包装材料：</w:t>
            </w:r>
            <w:r>
              <w:rPr>
                <w:u w:val="single"/>
              </w:rPr>
              <w:t xml:space="preserve">   </w:t>
            </w:r>
            <w:r>
              <w:rPr>
                <w:rFonts w:hint="eastAsia"/>
                <w:u w:val="single"/>
                <w:lang w:val="en-US" w:eastAsia="zh-CN"/>
              </w:rPr>
              <w:t>不锈钢器具、</w:t>
            </w:r>
            <w:r>
              <w:rPr>
                <w:rFonts w:hint="eastAsia"/>
                <w:u w:val="single"/>
              </w:rPr>
              <w:t>P</w:t>
            </w:r>
            <w:r>
              <w:rPr>
                <w:u w:val="single"/>
              </w:rPr>
              <w:t>E</w:t>
            </w:r>
            <w:r>
              <w:rPr>
                <w:rFonts w:hint="eastAsia"/>
                <w:u w:val="single"/>
              </w:rPr>
              <w:t>膜（包装袋等）</w:t>
            </w:r>
            <w:r>
              <w:rPr>
                <w:rFonts w:hint="eastAsia"/>
                <w:u w:val="single"/>
                <w:lang w:eastAsia="zh-CN"/>
              </w:rPr>
              <w:t>、塑料</w:t>
            </w:r>
            <w:r>
              <w:rPr>
                <w:rFonts w:hint="eastAsia"/>
                <w:u w:val="single"/>
                <w:lang w:val="en-US" w:eastAsia="zh-CN"/>
              </w:rPr>
              <w:t>桶等</w:t>
            </w:r>
            <w:r>
              <w:rPr>
                <w:u w:val="single"/>
              </w:rPr>
              <w:t xml:space="preserve">      </w:t>
            </w:r>
          </w:p>
          <w:p>
            <w:pPr>
              <w:rPr>
                <w:u w:val="single"/>
              </w:rPr>
            </w:pP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rFonts w:hint="default"/>
                <w:b/>
                <w:u w:val="single"/>
                <w:lang w:val="en-US"/>
              </w:rPr>
            </w:pPr>
            <w:r>
              <w:rPr>
                <w:b/>
                <w:lang w:val="en-GB"/>
              </w:rPr>
              <w:t>最终产品《特性</w:t>
            </w:r>
            <w:r>
              <w:rPr>
                <w:b/>
              </w:rPr>
              <w:t>描述</w:t>
            </w:r>
            <w:r>
              <w:rPr>
                <w:b/>
                <w:lang w:val="en-GB"/>
              </w:rPr>
              <w:t>》</w:t>
            </w:r>
            <w:r>
              <w:rPr>
                <w:b/>
              </w:rPr>
              <w:t>：</w:t>
            </w:r>
            <w:r>
              <w:rPr>
                <w:rFonts w:hint="eastAsia"/>
                <w:b/>
                <w:u w:val="single"/>
              </w:rPr>
              <w:t>花生酱/芝麻酱/混合酱</w:t>
            </w:r>
            <w:r>
              <w:rPr>
                <w:rFonts w:hint="eastAsia"/>
                <w:b/>
                <w:u w:val="single"/>
                <w:lang w:eastAsia="zh-CN"/>
              </w:rPr>
              <w:t>（</w:t>
            </w:r>
            <w:r>
              <w:rPr>
                <w:rFonts w:hint="eastAsia"/>
                <w:b/>
                <w:u w:val="single"/>
                <w:lang w:val="en-US" w:eastAsia="zh-CN"/>
              </w:rPr>
              <w:t>芝麻花生混合酱</w:t>
            </w:r>
            <w:r>
              <w:rPr>
                <w:rFonts w:hint="eastAsia"/>
                <w:b/>
                <w:u w:val="single"/>
                <w:lang w:eastAsia="zh-CN"/>
              </w:rPr>
              <w:t>）</w:t>
            </w:r>
            <w:r>
              <w:rPr>
                <w:rFonts w:hint="eastAsia"/>
                <w:b/>
                <w:u w:val="single"/>
                <w:lang w:val="en-US" w:eastAsia="zh-CN"/>
              </w:rPr>
              <w:t xml:space="preserve"> </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lang w:val="en-US" w:eastAsia="zh-CN"/>
              </w:rPr>
              <w:t>餐饮火锅店等提供半固体（酱）调味料</w:t>
            </w:r>
            <w:r>
              <w:rPr>
                <w:u w:val="single"/>
              </w:rPr>
              <w:t xml:space="preserve">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FE"/>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w:t>
            </w:r>
            <w:r>
              <w:rPr>
                <w:rFonts w:hint="eastAsia"/>
              </w:rPr>
              <w:t>（不涉及）</w:t>
            </w:r>
            <w:r>
              <w:t>、包装材料、公用工程</w:t>
            </w:r>
            <w:r>
              <w:rPr>
                <w:rFonts w:hint="eastAsia"/>
              </w:rPr>
              <w:t>（不涉及）</w:t>
            </w:r>
            <w:r>
              <w:t>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rFonts w:hint="default" w:eastAsia="宋体"/>
                <w:lang w:val="en-US" w:eastAsia="zh-CN"/>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w:t>
            </w:r>
            <w:r>
              <w:rPr>
                <w:rFonts w:hint="eastAsia"/>
                <w:szCs w:val="21"/>
                <w:u w:val="single"/>
                <w:lang w:val="en-US" w:eastAsia="zh-CN"/>
              </w:rPr>
              <w:t>2</w:t>
            </w:r>
            <w:r>
              <w:rPr>
                <w:szCs w:val="21"/>
              </w:rPr>
              <w:t>月</w:t>
            </w:r>
            <w:r>
              <w:rPr>
                <w:szCs w:val="21"/>
                <w:u w:val="single"/>
              </w:rPr>
              <w:t xml:space="preserve">  </w:t>
            </w:r>
            <w:r>
              <w:rPr>
                <w:rFonts w:hint="eastAsia"/>
                <w:szCs w:val="21"/>
                <w:u w:val="single"/>
                <w:lang w:val="en-US" w:eastAsia="zh-CN"/>
              </w:rPr>
              <w:t>1</w:t>
            </w:r>
            <w:r>
              <w:rPr>
                <w:szCs w:val="21"/>
                <w:u w:val="single"/>
              </w:rPr>
              <w:t xml:space="preserve"> </w:t>
            </w:r>
            <w:r>
              <w:rPr>
                <w:szCs w:val="21"/>
              </w:rPr>
              <w:t>日</w:t>
            </w:r>
            <w:r>
              <w:t>在现场确认了流程图的准确性。</w:t>
            </w:r>
            <w:r>
              <w:rPr>
                <w:rFonts w:hint="eastAsia"/>
                <w:color w:val="0000FF"/>
                <w:u w:val="single"/>
                <w:lang w:eastAsia="zh-CN"/>
              </w:rPr>
              <w:t>——</w:t>
            </w:r>
            <w:r>
              <w:rPr>
                <w:rFonts w:hint="eastAsia"/>
                <w:color w:val="0000FF"/>
                <w:u w:val="single"/>
                <w:lang w:val="en-US" w:eastAsia="zh-CN"/>
              </w:rPr>
              <w:t>审核周期内未发生变化</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133" w:hRule="atLeast"/>
        </w:trPr>
        <w:tc>
          <w:tcPr>
            <w:tcW w:w="2174" w:type="dxa"/>
            <w:gridSpan w:val="2"/>
            <w:vMerge w:val="continue"/>
            <w:shd w:val="clear" w:color="auto" w:fill="auto"/>
          </w:tcPr>
          <w:p/>
        </w:tc>
        <w:tc>
          <w:tcPr>
            <w:tcW w:w="936" w:type="dxa"/>
            <w:gridSpan w:val="2"/>
            <w:shd w:val="clear" w:color="auto" w:fill="auto"/>
          </w:tcPr>
          <w:p/>
        </w:tc>
        <w:tc>
          <w:tcPr>
            <w:tcW w:w="745" w:type="dxa"/>
            <w:gridSpan w:val="3"/>
            <w:shd w:val="clear" w:color="auto" w:fill="auto"/>
          </w:tcPr>
          <w:p/>
        </w:tc>
        <w:tc>
          <w:tcPr>
            <w:tcW w:w="9523" w:type="dxa"/>
            <w:gridSpan w:val="2"/>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FE"/>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FE"/>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来自法律法规——法律法规的</w:t>
            </w:r>
            <w:r>
              <w:rPr>
                <w:rFonts w:hint="eastAsia"/>
                <w:lang w:val="en-US" w:eastAsia="zh-CN"/>
              </w:rPr>
              <w:t>更新、变化等</w:t>
            </w:r>
            <w:r>
              <w:t xml:space="preserve"> </w:t>
            </w:r>
          </w:p>
          <w:p>
            <w:pPr>
              <w:ind w:firstLine="840" w:firstLineChars="400"/>
            </w:pPr>
            <w:r>
              <w:rPr/>
              <w:sym w:font="Wingdings" w:char="00FE"/>
            </w:r>
            <w:r>
              <w:t>监管机构的要求——</w:t>
            </w:r>
            <w:r>
              <w:rPr>
                <w:rFonts w:hint="eastAsia"/>
                <w:lang w:val="en-US" w:eastAsia="zh-CN"/>
              </w:rPr>
              <w:t>符合相应的法律法规及政策的要求</w:t>
            </w:r>
            <w:r>
              <w:t xml:space="preserve"> </w:t>
            </w:r>
          </w:p>
          <w:p>
            <w:pPr>
              <w:ind w:firstLine="840" w:firstLineChars="400"/>
              <w:rPr>
                <w:szCs w:val="21"/>
              </w:rPr>
            </w:pPr>
            <w:r>
              <w:rPr/>
              <w:sym w:font="Wingdings" w:char="00FE"/>
            </w:r>
            <w:r>
              <w:t>客户要求——</w:t>
            </w:r>
            <w:r>
              <w:rPr>
                <w:szCs w:val="21"/>
              </w:rPr>
              <w:t>改变</w:t>
            </w:r>
            <w:r>
              <w:rPr>
                <w:rFonts w:hint="eastAsia"/>
                <w:szCs w:val="21"/>
              </w:rPr>
              <w:t>订单/需求</w:t>
            </w:r>
            <w:r>
              <w:rPr>
                <w:rFonts w:hint="eastAsia"/>
                <w:szCs w:val="21"/>
                <w:lang w:eastAsia="zh-CN"/>
              </w:rPr>
              <w:t>，</w:t>
            </w:r>
            <w:r>
              <w:rPr>
                <w:rFonts w:hint="eastAsia"/>
                <w:szCs w:val="21"/>
                <w:lang w:val="en-US" w:eastAsia="zh-CN"/>
              </w:rPr>
              <w:t>产品安全性符合要求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290"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2189" w:type="dxa"/>
            <w:gridSpan w:val="3"/>
            <w:vMerge w:val="restart"/>
            <w:shd w:val="clear" w:color="auto" w:fill="auto"/>
          </w:tcPr>
          <w:p>
            <w:r>
              <w:rPr>
                <w:rFonts w:hint="eastAsia"/>
              </w:rPr>
              <w:t>撤回/召回</w:t>
            </w:r>
          </w:p>
          <w:p/>
        </w:tc>
        <w:tc>
          <w:tcPr>
            <w:tcW w:w="922" w:type="dxa"/>
            <w:gridSpan w:val="2"/>
            <w:vMerge w:val="restart"/>
            <w:shd w:val="clear" w:color="auto" w:fill="auto"/>
          </w:tcPr>
          <w:p>
            <w:pPr>
              <w:pStyle w:val="24"/>
            </w:pPr>
            <w:r>
              <w:rPr>
                <w:rFonts w:hint="eastAsia"/>
              </w:rPr>
              <w:t>F8.9.5</w:t>
            </w:r>
          </w:p>
          <w:p/>
        </w:tc>
        <w:tc>
          <w:tcPr>
            <w:tcW w:w="751" w:type="dxa"/>
            <w:gridSpan w:val="3"/>
            <w:shd w:val="clear" w:color="auto" w:fill="auto"/>
          </w:tcPr>
          <w:p>
            <w:r>
              <w:rPr>
                <w:rFonts w:hint="eastAsia"/>
              </w:rPr>
              <w:t>文件名称</w:t>
            </w:r>
          </w:p>
        </w:tc>
        <w:tc>
          <w:tcPr>
            <w:tcW w:w="9516" w:type="dxa"/>
            <w:shd w:val="clear" w:color="auto" w:fill="auto"/>
          </w:tcPr>
          <w:p>
            <w:pPr>
              <w:widowControl/>
              <w:jc w:val="left"/>
            </w:pPr>
            <w:r>
              <w:rPr>
                <w:rFonts w:hint="eastAsia"/>
              </w:rPr>
              <w:t>如：</w:t>
            </w:r>
            <w:r>
              <w:rPr/>
              <w:sym w:font="Wingdings" w:char="00FE"/>
            </w:r>
            <w:r>
              <w:rPr>
                <w:rFonts w:hint="eastAsia"/>
              </w:rPr>
              <w:t>《产品标识和可追溯程序》、</w:t>
            </w:r>
            <w:r>
              <w:rPr/>
              <w:sym w:font="Wingdings" w:char="00FE"/>
            </w:r>
            <w:r>
              <w:t>《</w:t>
            </w:r>
            <w:r>
              <w:rPr>
                <w:rFonts w:hint="eastAsia"/>
              </w:rPr>
              <w:t>突发事件应急响应程序</w:t>
            </w:r>
            <w:r>
              <w:t>》</w:t>
            </w:r>
            <w:r>
              <w:rPr>
                <w:rFonts w:hint="eastAsia"/>
              </w:rPr>
              <w:t>、</w:t>
            </w:r>
            <w:r>
              <w:rPr/>
              <w:sym w:font="Wingdings" w:char="00FE"/>
            </w:r>
            <w:r>
              <w:rPr>
                <w:rFonts w:hint="eastAsia"/>
                <w:lang w:eastAsia="zh-CN"/>
              </w:rPr>
              <w:t>《</w:t>
            </w:r>
            <w:r>
              <w:rPr>
                <w:rFonts w:hint="eastAsia"/>
              </w:rPr>
              <w:t>产品召回程序</w:t>
            </w:r>
            <w:r>
              <w:rPr>
                <w:rFonts w:hint="eastAsia"/>
                <w:lang w:eastAsia="zh-CN"/>
              </w:rPr>
              <w:t>》</w:t>
            </w:r>
          </w:p>
        </w:tc>
        <w:tc>
          <w:tcPr>
            <w:tcW w:w="1290"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40" w:hRule="atLeast"/>
        </w:trPr>
        <w:tc>
          <w:tcPr>
            <w:tcW w:w="2189" w:type="dxa"/>
            <w:gridSpan w:val="3"/>
            <w:vMerge w:val="continue"/>
            <w:shd w:val="clear" w:color="auto" w:fill="auto"/>
          </w:tcPr>
          <w:p/>
        </w:tc>
        <w:tc>
          <w:tcPr>
            <w:tcW w:w="922" w:type="dxa"/>
            <w:gridSpan w:val="2"/>
            <w:vMerge w:val="continue"/>
            <w:shd w:val="clear" w:color="auto" w:fill="auto"/>
          </w:tcPr>
          <w:p/>
        </w:tc>
        <w:tc>
          <w:tcPr>
            <w:tcW w:w="751" w:type="dxa"/>
            <w:gridSpan w:val="3"/>
            <w:shd w:val="clear" w:color="auto" w:fill="auto"/>
          </w:tcPr>
          <w:p>
            <w:r>
              <w:rPr>
                <w:rFonts w:hint="eastAsia"/>
              </w:rPr>
              <w:t>运行证据</w:t>
            </w:r>
          </w:p>
        </w:tc>
        <w:tc>
          <w:tcPr>
            <w:tcW w:w="9516" w:type="dxa"/>
            <w:shd w:val="clear" w:color="auto" w:fill="auto"/>
          </w:tcPr>
          <w:p>
            <w:r>
              <w:t>有权决定撤回/召回人员：</w:t>
            </w:r>
            <w:r>
              <w:rPr>
                <w:rFonts w:hint="eastAsia"/>
                <w:u w:val="single"/>
              </w:rPr>
              <w:t xml:space="preserve"> </w:t>
            </w:r>
            <w:r>
              <w:rPr>
                <w:u w:val="single"/>
              </w:rPr>
              <w:t xml:space="preserve"> </w:t>
            </w:r>
            <w:r>
              <w:rPr>
                <w:rFonts w:hint="eastAsia"/>
                <w:u w:val="single"/>
              </w:rPr>
              <w:t xml:space="preserve">总经理 </w:t>
            </w:r>
            <w:r>
              <w:rPr>
                <w:u w:val="single"/>
              </w:rPr>
              <w:t xml:space="preserve">  </w:t>
            </w:r>
            <w:r>
              <w:t xml:space="preserve">；  </w:t>
            </w:r>
          </w:p>
          <w:p>
            <w:r>
              <w:t>确保及时撤回/召回被确定为潜在不安全的大量最终产品。</w:t>
            </w:r>
          </w:p>
          <w:p>
            <w: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供销部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供销部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生产部、质检部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vAlign w:val="top"/>
                </w:tcPr>
                <w:p>
                  <w:pPr>
                    <w:rPr>
                      <w:rFonts w:ascii="Times New Roman" w:hAnsi="Times New Roman" w:eastAsia="宋体" w:cs="Times New Roman"/>
                      <w:kern w:val="2"/>
                      <w:sz w:val="21"/>
                      <w:lang w:val="en-US" w:eastAsia="zh-CN" w:bidi="ar-SA"/>
                    </w:rPr>
                  </w:pPr>
                  <w:r>
                    <w:t>食品安全小组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本部门是否发生产品的撤回或召回方面的处置：</w:t>
            </w:r>
          </w:p>
          <w:p>
            <w:r>
              <w:rPr>
                <w:rFonts w:hint="eastAsia"/>
              </w:rPr>
              <w:sym w:font="Wingdings" w:char="00FE"/>
            </w:r>
            <w:r>
              <w:rPr>
                <w:rFonts w:hint="eastAsia"/>
              </w:rPr>
              <w:t xml:space="preserve">未发生（参加公司组织的产品召回演练） </w:t>
            </w:r>
            <w:r>
              <w:rPr>
                <w:rFonts w:hint="eastAsia"/>
              </w:rPr>
              <w:sym w:font="Wingdings" w:char="00A8"/>
            </w:r>
            <w:r>
              <w:rPr>
                <w:rFonts w:hint="eastAsia"/>
              </w:rPr>
              <w:t>已发生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2158"/>
              <w:gridCol w:w="1702"/>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r>
                    <w:rPr>
                      <w:rFonts w:hint="eastAsia"/>
                    </w:rPr>
                    <w:t>撤回日期</w:t>
                  </w:r>
                </w:p>
              </w:tc>
              <w:tc>
                <w:tcPr>
                  <w:tcW w:w="1290" w:type="dxa"/>
                  <w:shd w:val="clear" w:color="auto" w:fill="auto"/>
                </w:tcPr>
                <w:p>
                  <w:r>
                    <w:rPr>
                      <w:rFonts w:hint="eastAsia"/>
                    </w:rPr>
                    <w:t>性质</w:t>
                  </w:r>
                </w:p>
              </w:tc>
              <w:tc>
                <w:tcPr>
                  <w:tcW w:w="2158" w:type="dxa"/>
                  <w:shd w:val="clear" w:color="auto" w:fill="auto"/>
                </w:tcPr>
                <w:p>
                  <w:r>
                    <w:rPr>
                      <w:rFonts w:hint="eastAsia"/>
                    </w:rPr>
                    <w:t>撤回原因</w:t>
                  </w:r>
                </w:p>
              </w:tc>
              <w:tc>
                <w:tcPr>
                  <w:tcW w:w="1702" w:type="dxa"/>
                  <w:shd w:val="clear" w:color="auto" w:fill="auto"/>
                </w:tcPr>
                <w:p>
                  <w:r>
                    <w:rPr>
                      <w:rFonts w:hint="eastAsia"/>
                    </w:rPr>
                    <w:t>撤回范围</w:t>
                  </w:r>
                </w:p>
              </w:tc>
              <w:tc>
                <w:tcPr>
                  <w:tcW w:w="1285" w:type="dxa"/>
                  <w:shd w:val="clear" w:color="auto" w:fill="auto"/>
                </w:tcPr>
                <w:p>
                  <w:r>
                    <w:rPr>
                      <w:rFonts w:hint="eastAsia"/>
                    </w:rPr>
                    <w:t>撤回结果</w:t>
                  </w:r>
                </w:p>
              </w:tc>
              <w:tc>
                <w:tcPr>
                  <w:tcW w:w="1433"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hint="default" w:eastAsia="宋体"/>
                      <w:lang w:val="en-US" w:eastAsia="zh-CN"/>
                    </w:rPr>
                  </w:pPr>
                  <w:r>
                    <w:t>202</w:t>
                  </w:r>
                  <w:r>
                    <w:rPr>
                      <w:rFonts w:hint="eastAsia"/>
                      <w:lang w:val="en-US" w:eastAsia="zh-CN"/>
                    </w:rPr>
                    <w:t>20515</w:t>
                  </w: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FE"/>
                  </w:r>
                  <w:r>
                    <w:rPr>
                      <w:rFonts w:hint="eastAsia"/>
                    </w:rPr>
                    <w:t>模拟撤回</w:t>
                  </w:r>
                </w:p>
              </w:tc>
              <w:tc>
                <w:tcPr>
                  <w:tcW w:w="2158" w:type="dxa"/>
                  <w:shd w:val="clear" w:color="auto" w:fill="auto"/>
                </w:tcPr>
                <w:p>
                  <w:r>
                    <w:rPr>
                      <w:rFonts w:hint="eastAsia"/>
                    </w:rPr>
                    <w:t>发现发给客户曾氏麻辣风巴渝菜舍霸州店</w:t>
                  </w:r>
                  <w:r>
                    <w:rPr>
                      <w:rFonts w:hint="eastAsia"/>
                      <w:lang w:val="en-US" w:eastAsia="zh-CN"/>
                    </w:rPr>
                    <w:t>20220512</w:t>
                  </w:r>
                  <w:r>
                    <w:rPr>
                      <w:rFonts w:hint="eastAsia"/>
                    </w:rPr>
                    <w:t>批次的芝麻花生酱净含量不合格（模拟）</w:t>
                  </w:r>
                </w:p>
              </w:tc>
              <w:tc>
                <w:tcPr>
                  <w:tcW w:w="1702" w:type="dxa"/>
                  <w:shd w:val="clear" w:color="auto" w:fill="auto"/>
                </w:tcPr>
                <w:p>
                  <w:r>
                    <w:rPr>
                      <w:rFonts w:hint="eastAsia"/>
                    </w:rPr>
                    <w:t>已发货</w:t>
                  </w:r>
                  <w:r>
                    <w:rPr>
                      <w:rFonts w:hint="eastAsia"/>
                      <w:lang w:val="en-US" w:eastAsia="zh-CN"/>
                    </w:rPr>
                    <w:t>32</w:t>
                  </w:r>
                  <w:r>
                    <w:rPr>
                      <w:rFonts w:hint="eastAsia"/>
                    </w:rPr>
                    <w:t>t，全部召回（</w:t>
                  </w:r>
                  <w:r>
                    <w:rPr>
                      <w:rFonts w:hint="eastAsia"/>
                      <w:lang w:val="en-US" w:eastAsia="zh-CN"/>
                    </w:rPr>
                    <w:t>模拟，</w:t>
                  </w:r>
                  <w:r>
                    <w:rPr>
                      <w:rFonts w:hint="eastAsia"/>
                    </w:rPr>
                    <w:t>实际未召回）</w:t>
                  </w:r>
                </w:p>
              </w:tc>
              <w:tc>
                <w:tcPr>
                  <w:tcW w:w="1285" w:type="dxa"/>
                  <w:shd w:val="clear" w:color="auto" w:fill="auto"/>
                </w:tcPr>
                <w:p>
                  <w:r>
                    <w:rPr>
                      <w:rFonts w:hint="eastAsia"/>
                    </w:rPr>
                    <w:t>共发出20桶，共收回20桶</w:t>
                  </w:r>
                </w:p>
              </w:tc>
              <w:tc>
                <w:tcPr>
                  <w:tcW w:w="1433"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158" w:type="dxa"/>
                  <w:shd w:val="clear" w:color="auto" w:fill="auto"/>
                </w:tcPr>
                <w:p/>
              </w:tc>
              <w:tc>
                <w:tcPr>
                  <w:tcW w:w="1702" w:type="dxa"/>
                  <w:shd w:val="clear" w:color="auto" w:fill="auto"/>
                </w:tcPr>
                <w:p/>
              </w:tc>
              <w:tc>
                <w:tcPr>
                  <w:tcW w:w="1285"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w:t>
            </w:r>
            <w:r>
              <w:rPr>
                <w:rFonts w:hint="eastAsia"/>
                <w:u w:val="single"/>
              </w:rPr>
              <w:t>产品召回演练记录</w:t>
            </w:r>
            <w:r>
              <w:rPr>
                <w:rFonts w:hint="eastAsia"/>
              </w:rPr>
              <w:t>》， 并向最高管理者报告， 作为管理评审的输入。</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70" w:type="dxa"/>
            <w:vMerge w:val="restart"/>
            <w:shd w:val="clear" w:color="auto" w:fill="auto"/>
          </w:tcPr>
          <w:p>
            <w:r>
              <w:rPr>
                <w:rFonts w:hint="eastAsia"/>
              </w:rPr>
              <w:t>应急预案</w:t>
            </w:r>
          </w:p>
        </w:tc>
        <w:tc>
          <w:tcPr>
            <w:tcW w:w="941" w:type="dxa"/>
            <w:gridSpan w:val="4"/>
            <w:vMerge w:val="restart"/>
            <w:shd w:val="clear" w:color="auto" w:fill="auto"/>
          </w:tcPr>
          <w:p>
            <w:r>
              <w:t>F8.4</w:t>
            </w:r>
          </w:p>
          <w:p/>
        </w:tc>
        <w:tc>
          <w:tcPr>
            <w:tcW w:w="742" w:type="dxa"/>
            <w:shd w:val="clear" w:color="auto" w:fill="auto"/>
          </w:tcPr>
          <w:p>
            <w:r>
              <w:rPr>
                <w:rFonts w:hint="eastAsia"/>
              </w:rPr>
              <w:t>文件名称</w:t>
            </w:r>
          </w:p>
        </w:tc>
        <w:tc>
          <w:tcPr>
            <w:tcW w:w="9525" w:type="dxa"/>
            <w:gridSpan w:val="3"/>
            <w:shd w:val="clear" w:color="auto" w:fill="auto"/>
          </w:tcPr>
          <w:p>
            <w:r>
              <w:rPr>
                <w:rFonts w:hint="eastAsia"/>
              </w:rPr>
              <w:t>如：</w:t>
            </w:r>
            <w:r>
              <w:rPr>
                <w:rFonts w:hint="eastAsia"/>
              </w:rPr>
              <w:sym w:font="Wingdings" w:char="00FE"/>
            </w:r>
            <w:r>
              <w:t>《</w:t>
            </w:r>
            <w:r>
              <w:rPr>
                <w:rFonts w:hint="eastAsia"/>
              </w:rPr>
              <w:t>突发事件应急响应程序</w:t>
            </w:r>
            <w:r>
              <w:t>》</w:t>
            </w:r>
          </w:p>
        </w:tc>
        <w:tc>
          <w:tcPr>
            <w:tcW w:w="1322" w:type="dxa"/>
            <w:gridSpan w:val="2"/>
            <w:vMerge w:val="restart"/>
            <w:shd w:val="clear" w:color="auto" w:fill="auto"/>
          </w:tcPr>
          <w:p>
            <w:r>
              <w:rPr/>
              <w:sym w:font="Wingdings" w:char="00FE"/>
            </w:r>
            <w:r>
              <w:rPr>
                <w:rFonts w:hint="eastAsia"/>
              </w:rPr>
              <w:t>符合</w:t>
            </w:r>
          </w:p>
          <w:p>
            <w:pPr>
              <w:rPr>
                <w:highlight w:val="yellow"/>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2170" w:type="dxa"/>
            <w:vMerge w:val="continue"/>
            <w:shd w:val="clear" w:color="auto" w:fill="auto"/>
          </w:tcPr>
          <w:p/>
        </w:tc>
        <w:tc>
          <w:tcPr>
            <w:tcW w:w="941" w:type="dxa"/>
            <w:gridSpan w:val="4"/>
            <w:vMerge w:val="continue"/>
            <w:shd w:val="clear" w:color="auto" w:fill="auto"/>
          </w:tcPr>
          <w:p/>
        </w:tc>
        <w:tc>
          <w:tcPr>
            <w:tcW w:w="742" w:type="dxa"/>
            <w:shd w:val="clear" w:color="auto" w:fill="auto"/>
          </w:tcPr>
          <w:p>
            <w:r>
              <w:rPr>
                <w:rFonts w:hint="eastAsia"/>
              </w:rPr>
              <w:t>运行证据</w:t>
            </w:r>
          </w:p>
        </w:tc>
        <w:tc>
          <w:tcPr>
            <w:tcW w:w="9525" w:type="dxa"/>
            <w:gridSpan w:val="3"/>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t>《</w:t>
            </w:r>
            <w:r>
              <w:rPr>
                <w:rFonts w:hint="eastAsia"/>
              </w:rPr>
              <w:t>突发事件应急响应程序</w:t>
            </w:r>
            <w:r>
              <w:t>》</w:t>
            </w:r>
            <w:r>
              <w:rPr>
                <w:rFonts w:hint="eastAsia"/>
              </w:rPr>
              <w:t>、</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lang w:val="en-US" w:eastAsia="zh-CN"/>
                    </w:rPr>
                  </w:pPr>
                  <w:r>
                    <w:rPr>
                      <w:rFonts w:hint="eastAsia"/>
                      <w:lang w:val="en-US" w:eastAsia="zh-CN"/>
                    </w:rPr>
                    <w:t>消防应急演练2022-04-23</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消防演习</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pPr>
              <w:rPr>
                <w:rFonts w:hint="eastAsia"/>
                <w:u w:val="single"/>
                <w:lang w:val="en-US" w:eastAsia="zh-CN"/>
              </w:rPr>
            </w:pPr>
            <w:r>
              <w:rPr>
                <w:rFonts w:hint="eastAsia"/>
              </w:rPr>
              <w:t>对预案定期评审的日期：</w:t>
            </w:r>
            <w:r>
              <w:rPr>
                <w:rFonts w:hint="eastAsia"/>
                <w:u w:val="single"/>
              </w:rPr>
              <w:t xml:space="preserve">    2</w:t>
            </w:r>
            <w:r>
              <w:rPr>
                <w:u w:val="single"/>
              </w:rPr>
              <w:t>02</w:t>
            </w:r>
            <w:r>
              <w:rPr>
                <w:rFonts w:hint="eastAsia"/>
                <w:u w:val="single"/>
                <w:lang w:val="en-US" w:eastAsia="zh-CN"/>
              </w:rPr>
              <w:t xml:space="preserve">2-04-23  </w:t>
            </w:r>
          </w:p>
          <w:p>
            <w:r>
              <w:rPr>
                <w:rFonts w:hint="eastAsia"/>
              </w:rPr>
              <w:t>修订响应措施的内容：</w:t>
            </w:r>
            <w:r>
              <w:rPr>
                <w:rFonts w:hint="eastAsia"/>
                <w:u w:val="single"/>
              </w:rPr>
              <w:t xml:space="preserve">       无             </w:t>
            </w:r>
          </w:p>
          <w:p/>
        </w:tc>
        <w:tc>
          <w:tcPr>
            <w:tcW w:w="1322" w:type="dxa"/>
            <w:gridSpan w:val="2"/>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2174" w:type="dxa"/>
            <w:gridSpan w:val="2"/>
            <w:vMerge w:val="restart"/>
            <w:shd w:val="clear" w:color="auto" w:fill="auto"/>
          </w:tcPr>
          <w:p>
            <w:r>
              <w:t>危害分析</w:t>
            </w:r>
          </w:p>
        </w:tc>
        <w:tc>
          <w:tcPr>
            <w:tcW w:w="937" w:type="dxa"/>
            <w:gridSpan w:val="3"/>
            <w:vMerge w:val="restart"/>
            <w:shd w:val="clear" w:color="auto" w:fill="auto"/>
          </w:tcPr>
          <w:p>
            <w:r>
              <w:t>F8.5.2</w:t>
            </w:r>
          </w:p>
          <w:p/>
        </w:tc>
        <w:tc>
          <w:tcPr>
            <w:tcW w:w="744" w:type="dxa"/>
            <w:gridSpan w:val="2"/>
            <w:shd w:val="clear" w:color="auto" w:fill="auto"/>
          </w:tcPr>
          <w:p>
            <w:r>
              <w:t>文件名称</w:t>
            </w:r>
          </w:p>
        </w:tc>
        <w:tc>
          <w:tcPr>
            <w:tcW w:w="9523" w:type="dxa"/>
            <w:gridSpan w:val="2"/>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109" w:hRule="atLeast"/>
        </w:trPr>
        <w:tc>
          <w:tcPr>
            <w:tcW w:w="2174" w:type="dxa"/>
            <w:gridSpan w:val="2"/>
            <w:vMerge w:val="continue"/>
            <w:shd w:val="clear" w:color="auto" w:fill="auto"/>
          </w:tcPr>
          <w:p/>
        </w:tc>
        <w:tc>
          <w:tcPr>
            <w:tcW w:w="937" w:type="dxa"/>
            <w:gridSpan w:val="3"/>
            <w:vMerge w:val="continue"/>
            <w:shd w:val="clear" w:color="auto" w:fill="auto"/>
          </w:tcPr>
          <w:p/>
        </w:tc>
        <w:tc>
          <w:tcPr>
            <w:tcW w:w="744" w:type="dxa"/>
            <w:gridSpan w:val="2"/>
            <w:shd w:val="clear" w:color="auto" w:fill="auto"/>
          </w:tcPr>
          <w:p>
            <w:r>
              <w:t>运行证据</w:t>
            </w:r>
          </w:p>
        </w:tc>
        <w:tc>
          <w:tcPr>
            <w:tcW w:w="9523" w:type="dxa"/>
            <w:gridSpan w:val="2"/>
            <w:shd w:val="clear" w:color="auto" w:fill="auto"/>
          </w:tcPr>
          <w:p>
            <w:pPr>
              <w:rPr>
                <w:rFonts w:hint="default" w:eastAsia="宋体"/>
                <w:color w:val="0000FF"/>
                <w:u w:val="single"/>
                <w:lang w:val="en-US" w:eastAsia="zh-CN"/>
              </w:rPr>
            </w:pPr>
            <w:r>
              <w:t>食品安全小组于</w:t>
            </w:r>
            <w:r>
              <w:rPr>
                <w:u w:val="single"/>
              </w:rPr>
              <w:t xml:space="preserve">  2021 </w:t>
            </w:r>
            <w:r>
              <w:t>年</w:t>
            </w:r>
            <w:r>
              <w:rPr>
                <w:u w:val="single"/>
              </w:rPr>
              <w:t xml:space="preserve"> </w:t>
            </w:r>
            <w:r>
              <w:rPr>
                <w:rFonts w:hint="eastAsia"/>
                <w:u w:val="single"/>
                <w:lang w:val="en-US" w:eastAsia="zh-CN"/>
              </w:rPr>
              <w:t>2</w:t>
            </w:r>
            <w:r>
              <w:t>月</w:t>
            </w:r>
            <w:r>
              <w:rPr>
                <w:u w:val="single"/>
              </w:rPr>
              <w:t xml:space="preserve"> </w:t>
            </w:r>
            <w:r>
              <w:rPr>
                <w:rFonts w:hint="eastAsia"/>
                <w:u w:val="single"/>
                <w:lang w:val="en-US" w:eastAsia="zh-CN"/>
              </w:rPr>
              <w:t>1</w:t>
            </w:r>
            <w:r>
              <w:t>日根据初步情况进行危害分析，确定需要控制的危害。控制程度应确保食品安全，并在适当情况下采用多种控制措施的组合。</w:t>
            </w:r>
            <w:r>
              <w:rPr>
                <w:rFonts w:hint="eastAsia"/>
                <w:color w:val="0000FF"/>
                <w:u w:val="single"/>
                <w:lang w:eastAsia="zh-CN"/>
              </w:rPr>
              <w:t>——</w:t>
            </w:r>
            <w:r>
              <w:rPr>
                <w:rFonts w:hint="eastAsia"/>
                <w:color w:val="0000FF"/>
                <w:u w:val="single"/>
                <w:lang w:val="en-US" w:eastAsia="zh-CN"/>
              </w:rPr>
              <w:t>相关负责人表示审核周期内未发生变化</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highlight w:val="none"/>
              </w:rPr>
            </w:pPr>
            <w:r>
              <w:rPr>
                <w:b/>
                <w:bCs/>
                <w:highlight w:val="none"/>
                <w:lang w:val="en-GB"/>
              </w:rPr>
              <w:t>显著危害</w:t>
            </w:r>
            <w:r>
              <w:rPr>
                <w:b/>
                <w:bCs/>
                <w:highlight w:val="none"/>
              </w:rPr>
              <w:t>包括：</w:t>
            </w:r>
          </w:p>
          <w:p>
            <w:pPr>
              <w:rPr>
                <w:highlight w:val="none"/>
              </w:rPr>
            </w:pPr>
            <w:r>
              <w:rPr>
                <w:highlight w:val="none"/>
              </w:rPr>
              <w:t>化学危害：</w:t>
            </w:r>
            <w:r>
              <w:rPr>
                <w:highlight w:val="none"/>
              </w:rPr>
              <w:sym w:font="Wingdings" w:char="00FE"/>
            </w:r>
            <w:r>
              <w:rPr>
                <w:highlight w:val="none"/>
              </w:rPr>
              <w:t xml:space="preserve">重金属  </w:t>
            </w:r>
            <w:r>
              <w:rPr>
                <w:highlight w:val="none"/>
              </w:rPr>
              <w:sym w:font="Wingdings" w:char="00FE"/>
            </w:r>
            <w:r>
              <w:rPr>
                <w:highlight w:val="none"/>
              </w:rPr>
              <w:t xml:space="preserve">农药残留  </w:t>
            </w:r>
            <w:r>
              <w:rPr>
                <w:highlight w:val="none"/>
              </w:rPr>
              <w:sym w:font="Wingdings" w:char="00A8"/>
            </w:r>
            <w:r>
              <w:rPr>
                <w:highlight w:val="none"/>
              </w:rPr>
              <w:t xml:space="preserve">兽药残留  </w:t>
            </w:r>
            <w:r>
              <w:rPr>
                <w:highlight w:val="none"/>
              </w:rPr>
              <w:sym w:font="Wingdings" w:char="00FE"/>
            </w:r>
            <w:r>
              <w:rPr>
                <w:highlight w:val="none"/>
              </w:rPr>
              <w:t xml:space="preserve">黄曲霉毒素  </w:t>
            </w:r>
            <w:r>
              <w:rPr>
                <w:highlight w:val="none"/>
              </w:rPr>
              <w:sym w:font="Wingdings" w:char="00A8"/>
            </w:r>
            <w:r>
              <w:rPr>
                <w:highlight w:val="none"/>
              </w:rPr>
              <w:t xml:space="preserve">放射性物质 </w:t>
            </w:r>
            <w:r>
              <w:rPr>
                <w:highlight w:val="none"/>
              </w:rPr>
              <w:sym w:font="Wingdings" w:char="00A8"/>
            </w:r>
            <w:r>
              <w:rPr>
                <w:highlight w:val="none"/>
              </w:rPr>
              <w:t xml:space="preserve">贝类毒素 </w:t>
            </w:r>
          </w:p>
          <w:p>
            <w:pPr>
              <w:ind w:firstLine="840" w:firstLineChars="400"/>
              <w:rPr>
                <w:highlight w:val="none"/>
              </w:rPr>
            </w:pPr>
            <w:r>
              <w:rPr>
                <w:highlight w:val="none"/>
              </w:rPr>
              <w:t xml:space="preserve">  </w:t>
            </w:r>
            <w:r>
              <w:rPr>
                <w:highlight w:val="none"/>
              </w:rPr>
              <w:sym w:font="Wingdings" w:char="00A8"/>
            </w:r>
            <w:r>
              <w:rPr>
                <w:highlight w:val="none"/>
              </w:rPr>
              <w:t xml:space="preserve">超量的食品添加剂   </w:t>
            </w:r>
            <w:r>
              <w:rPr>
                <w:highlight w:val="none"/>
              </w:rPr>
              <w:sym w:font="Wingdings" w:char="00A8"/>
            </w:r>
            <w:r>
              <w:rPr>
                <w:highlight w:val="none"/>
              </w:rPr>
              <w:t xml:space="preserve">化学品（润滑油、清洁剂、消毒剂、杀虫剂）  </w:t>
            </w:r>
            <w:r>
              <w:rPr>
                <w:highlight w:val="none"/>
              </w:rPr>
              <w:sym w:font="Wingdings" w:char="00A8"/>
            </w:r>
            <w:r>
              <w:rPr>
                <w:highlight w:val="none"/>
              </w:rPr>
              <w:t xml:space="preserve"> </w:t>
            </w:r>
            <w:r>
              <w:rPr>
                <w:bCs/>
                <w:highlight w:val="none"/>
                <w:lang w:val="en-GB"/>
              </w:rPr>
              <w:t>苯并芘</w:t>
            </w:r>
            <w:r>
              <w:rPr>
                <w:b/>
                <w:color w:val="0000FF"/>
                <w:highlight w:val="none"/>
              </w:rPr>
              <w:t xml:space="preserve"> </w:t>
            </w:r>
            <w:r>
              <w:rPr>
                <w:highlight w:val="none"/>
              </w:rPr>
              <w:t xml:space="preserve">  </w:t>
            </w:r>
          </w:p>
          <w:p>
            <w:pPr>
              <w:ind w:firstLine="1050" w:firstLineChars="500"/>
              <w:rPr>
                <w:highlight w:val="none"/>
              </w:rPr>
            </w:pPr>
            <w:r>
              <w:rPr>
                <w:highlight w:val="none"/>
              </w:rPr>
              <w:sym w:font="Wingdings" w:char="00A8"/>
            </w:r>
            <w:r>
              <w:rPr>
                <w:highlight w:val="none"/>
              </w:rPr>
              <w:t xml:space="preserve">二氧化硫残留 </w:t>
            </w:r>
            <w:r>
              <w:rPr>
                <w:highlight w:val="none"/>
              </w:rPr>
              <w:sym w:font="Wingdings" w:char="00A8"/>
            </w:r>
            <w:r>
              <w:rPr>
                <w:highlight w:val="none"/>
              </w:rPr>
              <w:t xml:space="preserve">有毒有害种子 </w:t>
            </w:r>
            <w:r>
              <w:rPr>
                <w:highlight w:val="none"/>
              </w:rPr>
              <w:sym w:font="Wingdings" w:char="00A8"/>
            </w:r>
            <w:r>
              <w:rPr>
                <w:highlight w:val="none"/>
              </w:rPr>
              <w:t>其他</w:t>
            </w:r>
          </w:p>
          <w:p>
            <w:pPr>
              <w:rPr>
                <w:highlight w:val="none"/>
              </w:rPr>
            </w:pPr>
            <w:r>
              <w:rPr>
                <w:highlight w:val="none"/>
              </w:rPr>
              <w:t>生物危害：</w:t>
            </w:r>
            <w:r>
              <w:rPr>
                <w:highlight w:val="none"/>
              </w:rPr>
              <w:sym w:font="Wingdings" w:char="00FE"/>
            </w:r>
            <w:r>
              <w:rPr>
                <w:highlight w:val="none"/>
              </w:rPr>
              <w:t xml:space="preserve">大肠杆菌    </w:t>
            </w:r>
            <w:r>
              <w:rPr>
                <w:highlight w:val="none"/>
              </w:rPr>
              <w:sym w:font="Wingdings" w:char="00FE"/>
            </w:r>
            <w:r>
              <w:rPr>
                <w:highlight w:val="none"/>
              </w:rPr>
              <w:t xml:space="preserve">金黄色葡萄球菌  </w:t>
            </w:r>
            <w:r>
              <w:rPr>
                <w:highlight w:val="none"/>
              </w:rPr>
              <w:sym w:font="Wingdings" w:char="00A8"/>
            </w:r>
            <w:r>
              <w:rPr>
                <w:highlight w:val="none"/>
              </w:rPr>
              <w:t xml:space="preserve">志贺氏菌  </w:t>
            </w:r>
            <w:r>
              <w:rPr>
                <w:highlight w:val="none"/>
              </w:rPr>
              <w:sym w:font="Wingdings" w:char="00A8"/>
            </w:r>
            <w:r>
              <w:rPr>
                <w:highlight w:val="none"/>
              </w:rPr>
              <w:t xml:space="preserve">霉菌  </w:t>
            </w:r>
            <w:r>
              <w:rPr>
                <w:highlight w:val="none"/>
              </w:rPr>
              <w:sym w:font="Wingdings" w:char="00A8"/>
            </w:r>
            <w:r>
              <w:rPr>
                <w:highlight w:val="none"/>
              </w:rPr>
              <w:t xml:space="preserve">酵母菌 </w:t>
            </w:r>
            <w:r>
              <w:rPr>
                <w:highlight w:val="none"/>
              </w:rPr>
              <w:sym w:font="Wingdings" w:char="00FE"/>
            </w:r>
            <w:r>
              <w:rPr>
                <w:highlight w:val="none"/>
              </w:rPr>
              <w:t>沙门氏菌</w:t>
            </w:r>
          </w:p>
          <w:p>
            <w:pPr>
              <w:rPr>
                <w:rFonts w:hint="eastAsia"/>
                <w:highlight w:val="none"/>
                <w:lang w:val="en-US" w:eastAsia="zh-CN"/>
              </w:rPr>
            </w:pPr>
            <w:r>
              <w:rPr>
                <w:highlight w:val="none"/>
              </w:rPr>
              <w:t xml:space="preserve">          </w:t>
            </w:r>
            <w:r>
              <w:rPr>
                <w:highlight w:val="none"/>
              </w:rPr>
              <w:sym w:font="Wingdings" w:char="00A8"/>
            </w:r>
            <w:r>
              <w:rPr>
                <w:highlight w:val="none"/>
              </w:rPr>
              <w:t xml:space="preserve">副溶血弧菌 </w:t>
            </w:r>
            <w:r>
              <w:rPr>
                <w:highlight w:val="none"/>
              </w:rPr>
              <w:sym w:font="Wingdings" w:char="00A8"/>
            </w:r>
            <w:r>
              <w:rPr>
                <w:highlight w:val="none"/>
              </w:rPr>
              <w:t xml:space="preserve">寄生虫   </w:t>
            </w:r>
            <w:r>
              <w:rPr>
                <w:highlight w:val="none"/>
              </w:rPr>
              <w:sym w:font="Wingdings" w:char="00A8"/>
            </w:r>
            <w:r>
              <w:rPr>
                <w:highlight w:val="none"/>
              </w:rPr>
              <w:t xml:space="preserve">革兰氏阳性菌  </w:t>
            </w:r>
            <w:r>
              <w:rPr>
                <w:highlight w:val="none"/>
              </w:rPr>
              <w:sym w:font="Wingdings" w:char="00A8"/>
            </w:r>
            <w:r>
              <w:rPr>
                <w:highlight w:val="none"/>
              </w:rPr>
              <w:t xml:space="preserve">革兰氏阴性菌      </w:t>
            </w:r>
            <w:r>
              <w:rPr>
                <w:highlight w:val="none"/>
              </w:rPr>
              <w:sym w:font="Wingdings" w:char="00FE"/>
            </w:r>
            <w:r>
              <w:rPr>
                <w:highlight w:val="none"/>
              </w:rPr>
              <w:t>其他</w:t>
            </w:r>
            <w:r>
              <w:rPr>
                <w:rFonts w:hint="eastAsia"/>
                <w:highlight w:val="none"/>
                <w:lang w:eastAsia="zh-CN"/>
              </w:rPr>
              <w:t>——</w:t>
            </w:r>
            <w:r>
              <w:rPr>
                <w:rFonts w:hint="eastAsia"/>
                <w:highlight w:val="none"/>
                <w:lang w:val="en-US" w:eastAsia="zh-CN"/>
              </w:rPr>
              <w:t>菌落总数</w:t>
            </w:r>
          </w:p>
          <w:p>
            <w:pPr>
              <w:rPr>
                <w:highlight w:val="none"/>
              </w:rPr>
            </w:pPr>
            <w:r>
              <w:rPr>
                <w:highlight w:val="none"/>
              </w:rPr>
              <w:t>物理危害：</w:t>
            </w:r>
            <w:r>
              <w:rPr>
                <w:highlight w:val="none"/>
              </w:rPr>
              <w:sym w:font="Wingdings" w:char="00FE"/>
            </w:r>
            <w:r>
              <w:rPr>
                <w:highlight w:val="none"/>
              </w:rPr>
              <w:t xml:space="preserve">金属屑  </w:t>
            </w:r>
            <w:r>
              <w:rPr>
                <w:highlight w:val="none"/>
              </w:rPr>
              <w:sym w:font="Wingdings" w:char="00FE"/>
            </w:r>
            <w:r>
              <w:rPr>
                <w:highlight w:val="none"/>
              </w:rPr>
              <w:t xml:space="preserve">玻璃渣  </w:t>
            </w:r>
            <w:r>
              <w:rPr>
                <w:highlight w:val="none"/>
              </w:rPr>
              <w:sym w:font="Wingdings" w:char="00FE"/>
            </w:r>
            <w:r>
              <w:rPr>
                <w:highlight w:val="none"/>
              </w:rPr>
              <w:t xml:space="preserve">碎石  </w:t>
            </w:r>
            <w:r>
              <w:rPr>
                <w:highlight w:val="none"/>
              </w:rPr>
              <w:sym w:font="Wingdings" w:char="00FE"/>
            </w:r>
            <w:r>
              <w:rPr>
                <w:highlight w:val="none"/>
              </w:rPr>
              <w:t xml:space="preserve">沙子  </w:t>
            </w:r>
            <w:r>
              <w:rPr>
                <w:highlight w:val="none"/>
              </w:rPr>
              <w:sym w:font="Wingdings" w:char="00FE"/>
            </w:r>
            <w:r>
              <w:rPr>
                <w:highlight w:val="none"/>
              </w:rP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rFonts w:hint="eastAsia"/>
                      <w:bCs/>
                      <w:sz w:val="18"/>
                      <w:szCs w:val="18"/>
                    </w:rPr>
                    <w:t>花生、芝麻</w:t>
                  </w:r>
                </w:p>
                <w:p>
                  <w:pPr>
                    <w:autoSpaceDE w:val="0"/>
                    <w:autoSpaceDN w:val="0"/>
                    <w:adjustRightInd w:val="0"/>
                    <w:jc w:val="center"/>
                    <w:rPr>
                      <w:bCs/>
                      <w:sz w:val="18"/>
                      <w:szCs w:val="18"/>
                    </w:rPr>
                  </w:pP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rFonts w:hint="eastAsia"/>
                      <w:bCs/>
                      <w:sz w:val="18"/>
                      <w:szCs w:val="18"/>
                      <w:lang w:val="en-US" w:eastAsia="zh-CN"/>
                    </w:rPr>
                    <w:t xml:space="preserve"> </w:t>
                  </w:r>
                  <w:r>
                    <w:rPr>
                      <w:bCs/>
                      <w:sz w:val="18"/>
                      <w:szCs w:val="18"/>
                    </w:rPr>
                    <w:sym w:font="Wingdings" w:char="00FE"/>
                  </w:r>
                  <w:r>
                    <w:rPr>
                      <w:bCs/>
                      <w:sz w:val="18"/>
                      <w:szCs w:val="18"/>
                      <w:lang w:val="en-GB"/>
                    </w:rPr>
                    <w:t>农药残留</w:t>
                  </w:r>
                  <w:r>
                    <w:rPr>
                      <w:bCs/>
                      <w:sz w:val="18"/>
                      <w:szCs w:val="18"/>
                    </w:rPr>
                    <w:t xml:space="preserve"> </w:t>
                  </w:r>
                  <w:r>
                    <w:rPr>
                      <w:rFonts w:hint="eastAsia"/>
                      <w:bCs/>
                      <w:sz w:val="18"/>
                      <w:szCs w:val="18"/>
                      <w:lang w:val="en-US" w:eastAsia="zh-CN"/>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sz w:val="18"/>
                      <w:szCs w:val="18"/>
                    </w:rPr>
                  </w:pP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pacing w:before="156" w:beforeLines="50" w:after="156" w:afterLines="50" w:line="320" w:lineRule="exact"/>
                    <w:rPr>
                      <w:bCs/>
                      <w:sz w:val="18"/>
                      <w:szCs w:val="18"/>
                      <w:lang w:val="en-GB"/>
                    </w:rPr>
                  </w:pPr>
                  <w:r>
                    <w:rPr>
                      <w:rFonts w:hint="eastAsia" w:ascii="宋体" w:hAnsi="宋体"/>
                      <w:szCs w:val="21"/>
                    </w:rPr>
                    <w:t>调味料（新鲜）</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FE"/>
                  </w:r>
                  <w:r>
                    <w:rPr>
                      <w:bCs/>
                      <w:sz w:val="18"/>
                      <w:szCs w:val="18"/>
                    </w:rPr>
                    <w:t>企业自行检测</w:t>
                  </w:r>
                  <w:r>
                    <w:rPr>
                      <w:rFonts w:hint="eastAsia"/>
                      <w:bCs/>
                      <w:sz w:val="18"/>
                      <w:szCs w:val="18"/>
                      <w:lang w:eastAsia="zh-CN"/>
                    </w:rPr>
                    <w:t>（</w:t>
                  </w:r>
                  <w:r>
                    <w:rPr>
                      <w:rFonts w:hint="eastAsia"/>
                      <w:bCs/>
                      <w:sz w:val="18"/>
                      <w:szCs w:val="18"/>
                      <w:lang w:val="en-US" w:eastAsia="zh-CN"/>
                    </w:rPr>
                    <w:t>委托第三方进行</w:t>
                  </w:r>
                  <w:r>
                    <w:rPr>
                      <w:rFonts w:hint="eastAsia"/>
                      <w:bCs/>
                      <w:sz w:val="18"/>
                      <w:szCs w:val="18"/>
                      <w:lang w:eastAsia="zh-CN"/>
                    </w:rPr>
                    <w:t>）</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rPr>
                      <w:rFonts w:hint="default" w:eastAsia="宋体"/>
                      <w:lang w:val="en-US" w:eastAsia="zh-CN"/>
                    </w:rPr>
                  </w:pPr>
                  <w:r>
                    <w:rPr>
                      <w:rFonts w:hint="eastAsia"/>
                    </w:rPr>
                    <w:t>包装袋</w:t>
                  </w:r>
                  <w:r>
                    <w:rPr>
                      <w:rFonts w:hint="eastAsia"/>
                      <w:lang w:eastAsia="zh-CN"/>
                    </w:rPr>
                    <w:t>、</w:t>
                  </w:r>
                  <w:r>
                    <w:rPr>
                      <w:rFonts w:hint="eastAsia" w:ascii="宋体" w:hAnsi="宋体"/>
                      <w:szCs w:val="21"/>
                    </w:rPr>
                    <w:t>塑料制品</w:t>
                  </w:r>
                  <w:r>
                    <w:rPr>
                      <w:rFonts w:hint="eastAsia" w:ascii="宋体" w:hAnsi="宋体"/>
                      <w:szCs w:val="21"/>
                      <w:lang w:val="en-US" w:eastAsia="zh-CN"/>
                    </w:rPr>
                    <w:t>包装等</w:t>
                  </w:r>
                </w:p>
                <w:p>
                  <w:pPr>
                    <w:snapToGrid w:val="0"/>
                    <w:jc w:val="both"/>
                    <w:rPr>
                      <w:rFonts w:hint="default" w:eastAsia="宋体"/>
                      <w:bCs/>
                      <w:sz w:val="18"/>
                      <w:szCs w:val="18"/>
                      <w:lang w:val="en-US" w:eastAsia="zh-CN"/>
                    </w:rPr>
                  </w:pP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eastAsia="宋体"/>
                      <w:bCs/>
                      <w:lang w:val="en-US" w:eastAsia="zh-CN"/>
                    </w:rPr>
                  </w:pPr>
                  <w:r>
                    <w:rPr>
                      <w:rFonts w:hint="eastAsia"/>
                      <w:bCs/>
                      <w:lang w:val="en-US" w:eastAsia="zh-CN"/>
                    </w:rPr>
                    <w:t>芝麻酱、花生酱、芝麻花生混合酱</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bl>
          <w:p/>
          <w:p>
            <w:pPr>
              <w:rPr>
                <w:rFonts w:hint="eastAsia" w:ascii="宋体" w:hAnsi="宋体"/>
                <w:lang w:val="en-US" w:eastAsia="zh-CN"/>
              </w:rPr>
            </w:pPr>
          </w:p>
          <w:p>
            <w:r>
              <w:t>出现、引入的危害：</w:t>
            </w:r>
          </w:p>
          <w:p>
            <w:r>
              <w:rPr/>
              <w:sym w:font="Wingdings" w:char="00FE"/>
            </w:r>
            <w:r>
              <w:t xml:space="preserve">原材料 </w:t>
            </w:r>
            <w:r>
              <w:rPr/>
              <w:sym w:font="Wingdings" w:char="00A8"/>
            </w:r>
            <w:r>
              <w:t xml:space="preserve">加工助剂 </w:t>
            </w:r>
            <w:r>
              <w:rPr/>
              <w:sym w:font="Wingdings" w:char="00A8"/>
            </w:r>
            <w:r>
              <w:t xml:space="preserve">食品添加剂 </w:t>
            </w:r>
            <w:r>
              <w:rPr/>
              <w:sym w:font="Wingdings" w:char="00FE"/>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lang w:val="en-US" w:eastAsia="zh-CN"/>
              </w:rPr>
              <w:t>温度控制不当，导致微生物繁殖</w:t>
            </w:r>
            <w:r>
              <w:rPr>
                <w:u w:val="single"/>
              </w:rPr>
              <w:t xml:space="preserve"> </w:t>
            </w:r>
            <w:r>
              <w:rPr>
                <w:rFonts w:hint="eastAsia"/>
                <w:u w:val="single"/>
                <w:lang w:eastAsia="zh-CN"/>
              </w:rPr>
              <w:t>、</w:t>
            </w:r>
            <w:r>
              <w:rPr>
                <w:rFonts w:hint="eastAsia"/>
                <w:u w:val="single"/>
                <w:lang w:val="en-US" w:eastAsia="zh-CN"/>
              </w:rPr>
              <w:t>异物污染</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rFonts w:hint="eastAsia"/>
                <w:u w:val="single"/>
                <w:lang w:val="en-US" w:eastAsia="zh-CN"/>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有害微生物</w:t>
            </w:r>
            <w:r>
              <w:rPr>
                <w:rFonts w:hint="eastAsia"/>
                <w:u w:val="single"/>
                <w:lang w:val="en-US" w:eastAsia="zh-CN"/>
              </w:rPr>
              <w:t>的繁殖</w:t>
            </w:r>
            <w:r>
              <w:rPr>
                <w:rFonts w:hint="eastAsia"/>
                <w:u w:val="single"/>
              </w:rPr>
              <w:t>、化学品</w:t>
            </w:r>
            <w:r>
              <w:rPr>
                <w:rFonts w:hint="eastAsia"/>
                <w:u w:val="single"/>
                <w:lang w:val="en-US" w:eastAsia="zh-CN"/>
              </w:rPr>
              <w:t>污染等</w:t>
            </w:r>
            <w:r>
              <w:rPr>
                <w:u w:val="single"/>
              </w:rPr>
              <w:t xml:space="preserve">   </w:t>
            </w:r>
          </w:p>
          <w:p>
            <w:pPr>
              <w:pStyle w:val="2"/>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both"/>
                    <w:rPr>
                      <w:rFonts w:hint="default" w:eastAsia="宋体"/>
                      <w:bCs/>
                      <w:szCs w:val="21"/>
                      <w:lang w:val="en-US" w:eastAsia="zh-CN"/>
                    </w:rPr>
                  </w:pPr>
                  <w:r>
                    <w:rPr>
                      <w:rFonts w:hint="eastAsia"/>
                      <w:bCs/>
                      <w:szCs w:val="21"/>
                      <w:lang w:val="en-US" w:eastAsia="zh-CN"/>
                    </w:rPr>
                    <w:t>芝麻酱、花生酱、芝麻花生混合酱</w:t>
                  </w:r>
                </w:p>
              </w:tc>
              <w:tc>
                <w:tcPr>
                  <w:tcW w:w="4263" w:type="dxa"/>
                  <w:shd w:val="clear" w:color="auto" w:fill="auto"/>
                  <w:vAlign w:val="center"/>
                </w:tcPr>
                <w:p>
                  <w:pPr>
                    <w:rPr>
                      <w:rFonts w:hint="default" w:eastAsia="宋体"/>
                      <w:bCs/>
                      <w:szCs w:val="21"/>
                      <w:lang w:val="en-US" w:eastAsia="zh-CN"/>
                    </w:rPr>
                  </w:pPr>
                  <w:r>
                    <w:rPr>
                      <w:rFonts w:hint="default" w:ascii="Times New Roman" w:hAnsi="Times New Roman" w:cs="Times New Roman"/>
                      <w:bCs/>
                      <w:sz w:val="21"/>
                      <w:szCs w:val="21"/>
                      <w:lang w:val="en-US" w:eastAsia="zh-CN"/>
                    </w:rPr>
                    <w:t>按照</w:t>
                  </w:r>
                  <w:r>
                    <w:rPr>
                      <w:rFonts w:hint="default" w:ascii="Times New Roman" w:hAnsi="Times New Roman" w:eastAsia="宋体" w:cs="Times New Roman"/>
                      <w:i w:val="0"/>
                      <w:iCs w:val="0"/>
                      <w:caps w:val="0"/>
                      <w:color w:val="333333"/>
                      <w:spacing w:val="0"/>
                      <w:sz w:val="21"/>
                      <w:szCs w:val="21"/>
                      <w:shd w:val="clear" w:fill="FFFFFF"/>
                    </w:rPr>
                    <w:t>LS/T 3220-2017 芝麻酱</w:t>
                  </w:r>
                  <w:r>
                    <w:rPr>
                      <w:rFonts w:hint="default" w:ascii="Times New Roman" w:hAnsi="Times New Roman" w:eastAsia="宋体" w:cs="Times New Roman"/>
                      <w:i w:val="0"/>
                      <w:iCs w:val="0"/>
                      <w:caps w:val="0"/>
                      <w:color w:val="333333"/>
                      <w:spacing w:val="0"/>
                      <w:sz w:val="21"/>
                      <w:szCs w:val="21"/>
                      <w:shd w:val="clear" w:fill="FFFFFF"/>
                      <w:lang w:eastAsia="zh-CN"/>
                    </w:rPr>
                    <w:t>、QB/T 1733.4-2015 花生酱、</w:t>
                  </w:r>
                  <w:r>
                    <w:rPr>
                      <w:rFonts w:hint="default" w:ascii="Times New Roman" w:hAnsi="Times New Roman" w:eastAsia="宋体" w:cs="Times New Roman"/>
                      <w:i w:val="0"/>
                      <w:iCs w:val="0"/>
                      <w:caps w:val="0"/>
                      <w:color w:val="333333"/>
                      <w:spacing w:val="0"/>
                      <w:sz w:val="21"/>
                      <w:szCs w:val="21"/>
                      <w:shd w:val="clear" w:fill="FFFFFF"/>
                      <w:lang w:val="en-US" w:eastAsia="zh-CN"/>
                    </w:rPr>
                    <w:t xml:space="preserve">Q/LJS0002S-2019芝麻花生混合酱 </w:t>
                  </w:r>
                  <w:r>
                    <w:rPr>
                      <w:rFonts w:hint="default" w:ascii="Times New Roman" w:hAnsi="Times New Roman" w:cs="Times New Roman"/>
                      <w:bCs/>
                      <w:sz w:val="21"/>
                      <w:szCs w:val="21"/>
                    </w:rPr>
                    <w:t>执行，目测正常</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eastAsia="宋体"/>
                      <w:bCs/>
                      <w:szCs w:val="21"/>
                      <w:lang w:val="en-GB" w:eastAsia="zh-CN"/>
                    </w:rPr>
                  </w:pPr>
                </w:p>
              </w:tc>
              <w:tc>
                <w:tcPr>
                  <w:tcW w:w="4263" w:type="dxa"/>
                  <w:shd w:val="clear" w:color="auto" w:fill="auto"/>
                  <w:vAlign w:val="center"/>
                </w:tcPr>
                <w:p>
                  <w:pPr>
                    <w:rPr>
                      <w:bCs/>
                      <w:szCs w:val="21"/>
                    </w:rPr>
                  </w:pPr>
                </w:p>
              </w:tc>
              <w:tc>
                <w:tcPr>
                  <w:tcW w:w="2266" w:type="dxa"/>
                  <w:shd w:val="clear" w:color="auto" w:fill="auto"/>
                  <w:vAlign w:val="bottom"/>
                </w:tcPr>
                <w:p>
                  <w:pPr>
                    <w:rPr>
                      <w:szCs w:val="21"/>
                    </w:rPr>
                  </w:pPr>
                  <w:r>
                    <w:rPr>
                      <w:szCs w:val="21"/>
                    </w:rPr>
                    <w:sym w:font="Wingdings" w:char="00A8"/>
                  </w:r>
                  <w:r>
                    <w:rPr>
                      <w:szCs w:val="21"/>
                    </w:rPr>
                    <w:t>法律、法规</w:t>
                  </w:r>
                </w:p>
                <w:p>
                  <w:pPr>
                    <w:rPr>
                      <w:bCs/>
                      <w:szCs w:val="21"/>
                    </w:rPr>
                  </w:pPr>
                  <w:r>
                    <w:rPr>
                      <w:bCs/>
                      <w:szCs w:val="21"/>
                    </w:rPr>
                    <w:sym w:font="Wingdings" w:char="00A8"/>
                  </w:r>
                  <w:r>
                    <w:rPr>
                      <w:szCs w:val="21"/>
                    </w:rPr>
                    <w:t>客户要求</w:t>
                  </w:r>
                </w:p>
                <w:p>
                  <w:pPr>
                    <w:rPr>
                      <w:bCs/>
                      <w:szCs w:val="21"/>
                    </w:rPr>
                  </w:pPr>
                  <w:r>
                    <w:rPr>
                      <w:bCs/>
                      <w:szCs w:val="21"/>
                    </w:rPr>
                    <w:sym w:font="Wingdings" w:char="00A8"/>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266" w:type="dxa"/>
                  <w:shd w:val="clear" w:color="auto" w:fill="auto"/>
                  <w:vAlign w:val="bottom"/>
                </w:tcPr>
                <w:p>
                  <w:pPr>
                    <w:rPr>
                      <w:bCs/>
                      <w:szCs w:val="21"/>
                    </w:rPr>
                  </w:pP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340" w:hRule="atLeast"/>
        </w:trPr>
        <w:tc>
          <w:tcPr>
            <w:tcW w:w="2174" w:type="dxa"/>
            <w:gridSpan w:val="2"/>
            <w:vMerge w:val="restart"/>
            <w:shd w:val="clear" w:color="auto" w:fill="auto"/>
          </w:tcPr>
          <w:p>
            <w:pPr>
              <w:rPr>
                <w:highlight w:val="none"/>
              </w:rPr>
            </w:pPr>
            <w:r>
              <w:rPr>
                <w:highlight w:val="none"/>
              </w:rPr>
              <w:t>控制措施组合的确认</w:t>
            </w:r>
          </w:p>
        </w:tc>
        <w:tc>
          <w:tcPr>
            <w:tcW w:w="937" w:type="dxa"/>
            <w:gridSpan w:val="3"/>
            <w:vMerge w:val="restart"/>
            <w:shd w:val="clear" w:color="auto" w:fill="auto"/>
          </w:tcPr>
          <w:p>
            <w:pPr>
              <w:rPr>
                <w:highlight w:val="none"/>
              </w:rPr>
            </w:pPr>
            <w:r>
              <w:rPr>
                <w:highlight w:val="none"/>
              </w:rPr>
              <w:t>F8.5.3</w:t>
            </w:r>
          </w:p>
        </w:tc>
        <w:tc>
          <w:tcPr>
            <w:tcW w:w="744" w:type="dxa"/>
            <w:gridSpan w:val="2"/>
            <w:shd w:val="clear" w:color="auto" w:fill="auto"/>
          </w:tcPr>
          <w:p>
            <w:pPr>
              <w:rPr>
                <w:rFonts w:hint="eastAsia" w:eastAsia="宋体"/>
                <w:highlight w:val="none"/>
                <w:lang w:val="en-US" w:eastAsia="zh-CN"/>
              </w:rPr>
            </w:pPr>
            <w:r>
              <w:rPr>
                <w:rFonts w:hint="eastAsia"/>
                <w:highlight w:val="none"/>
                <w:lang w:val="en-US" w:eastAsia="zh-CN"/>
              </w:rPr>
              <w:t>文件证据</w:t>
            </w:r>
          </w:p>
        </w:tc>
        <w:tc>
          <w:tcPr>
            <w:tcW w:w="9523" w:type="dxa"/>
            <w:gridSpan w:val="2"/>
            <w:shd w:val="clear" w:color="auto" w:fill="auto"/>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sym w:font="Wingdings 2" w:char="F052"/>
            </w:r>
            <w:r>
              <w:rPr>
                <w:rFonts w:hint="eastAsia"/>
                <w:color w:val="000000" w:themeColor="text1"/>
                <w:highlight w:val="none"/>
                <w14:textFill>
                  <w14:solidFill>
                    <w14:schemeClr w14:val="tx1"/>
                  </w14:solidFill>
                </w14:textFill>
              </w:rPr>
              <w:t>手册8</w:t>
            </w:r>
            <w:r>
              <w:rPr>
                <w:color w:val="000000" w:themeColor="text1"/>
                <w:highlight w:val="none"/>
                <w14:textFill>
                  <w14:solidFill>
                    <w14:schemeClr w14:val="tx1"/>
                  </w14:solidFill>
                </w14:textFill>
              </w:rPr>
              <w:t>.5.3</w:t>
            </w:r>
            <w:r>
              <w:rPr>
                <w:rFonts w:hint="eastAsia"/>
                <w:color w:val="000000" w:themeColor="text1"/>
                <w:highlight w:val="none"/>
                <w14:textFill>
                  <w14:solidFill>
                    <w14:schemeClr w14:val="tx1"/>
                  </w14:solidFill>
                </w14:textFill>
              </w:rPr>
              <w:t>条款</w:t>
            </w:r>
          </w:p>
        </w:tc>
        <w:tc>
          <w:tcPr>
            <w:tcW w:w="1290" w:type="dxa"/>
            <w:vMerge w:val="restart"/>
            <w:shd w:val="clear" w:color="auto" w:fill="auto"/>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00FE"/>
            </w:r>
            <w:r>
              <w:rPr>
                <w:color w:val="000000" w:themeColor="text1"/>
                <w:highlight w:val="none"/>
                <w14:textFill>
                  <w14:solidFill>
                    <w14:schemeClr w14:val="tx1"/>
                  </w14:solidFill>
                </w14:textFill>
              </w:rPr>
              <w:t>符合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00A8"/>
            </w:r>
            <w:r>
              <w:rPr>
                <w:color w:val="000000" w:themeColor="text1"/>
                <w:highlight w:val="none"/>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2402" w:hRule="atLeast"/>
        </w:trPr>
        <w:tc>
          <w:tcPr>
            <w:tcW w:w="2174" w:type="dxa"/>
            <w:gridSpan w:val="2"/>
            <w:vMerge w:val="continue"/>
            <w:shd w:val="clear" w:color="auto" w:fill="auto"/>
          </w:tcPr>
          <w:p>
            <w:pPr>
              <w:rPr>
                <w:highlight w:val="none"/>
              </w:rPr>
            </w:pPr>
          </w:p>
        </w:tc>
        <w:tc>
          <w:tcPr>
            <w:tcW w:w="937" w:type="dxa"/>
            <w:gridSpan w:val="3"/>
            <w:vMerge w:val="continue"/>
            <w:shd w:val="clear" w:color="auto" w:fill="auto"/>
          </w:tcPr>
          <w:p>
            <w:pPr>
              <w:rPr>
                <w:highlight w:val="none"/>
              </w:rPr>
            </w:pPr>
          </w:p>
        </w:tc>
        <w:tc>
          <w:tcPr>
            <w:tcW w:w="744" w:type="dxa"/>
            <w:gridSpan w:val="2"/>
            <w:shd w:val="clear" w:color="auto" w:fill="auto"/>
          </w:tcPr>
          <w:p>
            <w:pPr>
              <w:rPr>
                <w:highlight w:val="none"/>
              </w:rPr>
            </w:pPr>
            <w:r>
              <w:rPr>
                <w:highlight w:val="none"/>
              </w:rPr>
              <w:t>运行证据</w:t>
            </w:r>
          </w:p>
        </w:tc>
        <w:tc>
          <w:tcPr>
            <w:tcW w:w="9523" w:type="dxa"/>
            <w:gridSpan w:val="2"/>
            <w:shd w:val="clear" w:color="auto" w:fill="auto"/>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组织就OPRP与CCP的组合能够防止、消除或将成品中食品安全危害减少到可接受水平进行了确认。</w:t>
            </w:r>
          </w:p>
          <w:p>
            <w:pPr>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抽取成品型式检验相关记录名称：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检测报告</w:t>
            </w:r>
            <w:r>
              <w:rPr>
                <w:color w:val="000000" w:themeColor="text1"/>
                <w:highlight w:val="none"/>
                <w:u w:val="single"/>
                <w14:textFill>
                  <w14:solidFill>
                    <w14:schemeClr w14:val="tx1"/>
                  </w14:solidFill>
                </w14:textFill>
              </w:rPr>
              <w:t xml:space="preserve"> 》</w:t>
            </w:r>
          </w:p>
          <w:p>
            <w:pPr>
              <w:adjustRightInd w:val="0"/>
              <w:snapToGrid w:val="0"/>
              <w:spacing w:line="240" w:lineRule="atLeast"/>
              <w:ind w:firstLine="211" w:firstLineChars="100"/>
              <w:rPr>
                <w:rFonts w:ascii="宋体" w:hAnsi="宋体"/>
                <w:b/>
                <w:bCs/>
                <w:szCs w:val="21"/>
                <w:highlight w:val="none"/>
                <w:u w:val="single"/>
              </w:rPr>
            </w:pPr>
            <w:r>
              <w:rPr>
                <w:rFonts w:hint="eastAsia" w:ascii="宋体" w:hAnsi="宋体"/>
                <w:b/>
                <w:bCs/>
                <w:szCs w:val="21"/>
                <w:highlight w:val="none"/>
                <w:u w:val="single"/>
              </w:rPr>
              <w:t>有《PRP现场验证记录》，202</w:t>
            </w:r>
            <w:r>
              <w:rPr>
                <w:rFonts w:hint="eastAsia" w:ascii="宋体" w:hAnsi="宋体"/>
                <w:b/>
                <w:bCs/>
                <w:szCs w:val="21"/>
                <w:highlight w:val="none"/>
                <w:u w:val="single"/>
                <w:lang w:val="en-US" w:eastAsia="zh-CN"/>
              </w:rPr>
              <w:t>2</w:t>
            </w:r>
            <w:r>
              <w:rPr>
                <w:rFonts w:hint="eastAsia" w:ascii="宋体" w:hAnsi="宋体"/>
                <w:b/>
                <w:bCs/>
                <w:szCs w:val="21"/>
                <w:highlight w:val="none"/>
                <w:u w:val="single"/>
              </w:rPr>
              <w:t>年</w:t>
            </w:r>
            <w:r>
              <w:rPr>
                <w:rFonts w:hint="eastAsia" w:ascii="宋体" w:hAnsi="宋体"/>
                <w:b/>
                <w:bCs/>
                <w:szCs w:val="21"/>
                <w:highlight w:val="none"/>
                <w:u w:val="single"/>
                <w:lang w:val="en-US" w:eastAsia="zh-CN"/>
              </w:rPr>
              <w:t>4</w:t>
            </w:r>
            <w:r>
              <w:rPr>
                <w:rFonts w:hint="eastAsia" w:ascii="宋体" w:hAnsi="宋体"/>
                <w:b/>
                <w:bCs/>
                <w:szCs w:val="21"/>
                <w:highlight w:val="none"/>
                <w:u w:val="single"/>
              </w:rPr>
              <w:t>月15日，结论：控制有效</w:t>
            </w:r>
          </w:p>
          <w:p>
            <w:pPr>
              <w:adjustRightInd w:val="0"/>
              <w:snapToGrid w:val="0"/>
              <w:spacing w:line="240" w:lineRule="atLeast"/>
              <w:ind w:firstLine="422" w:firstLineChars="200"/>
              <w:rPr>
                <w:rFonts w:ascii="宋体" w:hAnsi="宋体"/>
                <w:b/>
                <w:bCs/>
                <w:szCs w:val="21"/>
                <w:highlight w:val="none"/>
                <w:u w:val="single"/>
              </w:rPr>
            </w:pPr>
            <w:r>
              <w:rPr>
                <w:rFonts w:hint="eastAsia" w:ascii="宋体" w:hAnsi="宋体"/>
                <w:b/>
                <w:bCs/>
                <w:szCs w:val="21"/>
                <w:highlight w:val="none"/>
                <w:u w:val="single"/>
              </w:rPr>
              <w:t>《OPRP确认记录表》，202</w:t>
            </w:r>
            <w:r>
              <w:rPr>
                <w:rFonts w:hint="eastAsia" w:ascii="宋体" w:hAnsi="宋体"/>
                <w:b/>
                <w:bCs/>
                <w:szCs w:val="21"/>
                <w:highlight w:val="none"/>
                <w:u w:val="single"/>
                <w:lang w:val="en-US" w:eastAsia="zh-CN"/>
              </w:rPr>
              <w:t>2</w:t>
            </w:r>
            <w:r>
              <w:rPr>
                <w:rFonts w:hint="eastAsia" w:ascii="宋体" w:hAnsi="宋体"/>
                <w:b/>
                <w:bCs/>
                <w:szCs w:val="21"/>
                <w:highlight w:val="none"/>
                <w:u w:val="single"/>
              </w:rPr>
              <w:t>年</w:t>
            </w:r>
            <w:r>
              <w:rPr>
                <w:rFonts w:hint="eastAsia" w:ascii="宋体" w:hAnsi="宋体"/>
                <w:b/>
                <w:bCs/>
                <w:szCs w:val="21"/>
                <w:highlight w:val="none"/>
                <w:u w:val="single"/>
                <w:lang w:val="en-US" w:eastAsia="zh-CN"/>
              </w:rPr>
              <w:t>2</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1</w:t>
            </w:r>
            <w:r>
              <w:rPr>
                <w:rFonts w:hint="eastAsia" w:ascii="宋体" w:hAnsi="宋体"/>
                <w:b/>
                <w:bCs/>
                <w:szCs w:val="21"/>
                <w:highlight w:val="none"/>
                <w:u w:val="single"/>
              </w:rPr>
              <w:t>日，结论：控制有效</w:t>
            </w:r>
          </w:p>
          <w:p>
            <w:pPr>
              <w:adjustRightInd w:val="0"/>
              <w:snapToGrid w:val="0"/>
              <w:spacing w:line="240" w:lineRule="atLeast"/>
              <w:ind w:firstLine="422" w:firstLineChars="200"/>
              <w:rPr>
                <w:rFonts w:ascii="宋体" w:hAnsi="宋体"/>
                <w:b/>
                <w:bCs/>
                <w:szCs w:val="21"/>
                <w:highlight w:val="none"/>
                <w:u w:val="single"/>
              </w:rPr>
            </w:pPr>
            <w:r>
              <w:rPr>
                <w:rFonts w:hint="eastAsia" w:ascii="宋体" w:hAnsi="宋体"/>
                <w:b/>
                <w:bCs/>
                <w:szCs w:val="21"/>
                <w:highlight w:val="none"/>
                <w:u w:val="single"/>
              </w:rPr>
              <w:t>《</w:t>
            </w:r>
            <w:r>
              <w:rPr>
                <w:rFonts w:hint="eastAsia" w:ascii="宋体" w:hAnsi="宋体"/>
                <w:b/>
                <w:bCs/>
                <w:szCs w:val="21"/>
                <w:highlight w:val="none"/>
                <w:u w:val="single"/>
                <w:lang w:val="en-US" w:eastAsia="zh-CN"/>
              </w:rPr>
              <w:t>危害控制</w:t>
            </w:r>
            <w:r>
              <w:rPr>
                <w:rFonts w:hint="eastAsia" w:ascii="宋体" w:hAnsi="宋体"/>
                <w:b/>
                <w:bCs/>
                <w:szCs w:val="21"/>
                <w:highlight w:val="none"/>
                <w:u w:val="single"/>
              </w:rPr>
              <w:t>计划确认记录表》，202</w:t>
            </w:r>
            <w:r>
              <w:rPr>
                <w:rFonts w:hint="eastAsia" w:ascii="宋体" w:hAnsi="宋体"/>
                <w:b/>
                <w:bCs/>
                <w:szCs w:val="21"/>
                <w:highlight w:val="none"/>
                <w:u w:val="single"/>
                <w:lang w:val="en-US" w:eastAsia="zh-CN"/>
              </w:rPr>
              <w:t>2</w:t>
            </w:r>
            <w:r>
              <w:rPr>
                <w:rFonts w:hint="eastAsia" w:ascii="宋体" w:hAnsi="宋体"/>
                <w:b/>
                <w:bCs/>
                <w:szCs w:val="21"/>
                <w:highlight w:val="none"/>
                <w:u w:val="single"/>
              </w:rPr>
              <w:t>年</w:t>
            </w:r>
            <w:r>
              <w:rPr>
                <w:rFonts w:hint="eastAsia" w:ascii="宋体" w:hAnsi="宋体"/>
                <w:b/>
                <w:bCs/>
                <w:szCs w:val="21"/>
                <w:highlight w:val="none"/>
                <w:u w:val="single"/>
                <w:lang w:val="en-US" w:eastAsia="zh-CN"/>
              </w:rPr>
              <w:t>2</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1</w:t>
            </w:r>
            <w:r>
              <w:rPr>
                <w:rFonts w:hint="eastAsia" w:ascii="宋体" w:hAnsi="宋体"/>
                <w:b/>
                <w:bCs/>
                <w:szCs w:val="21"/>
                <w:highlight w:val="none"/>
                <w:u w:val="single"/>
              </w:rPr>
              <w:t>日，结论：控制有效</w:t>
            </w:r>
          </w:p>
          <w:p>
            <w:pPr>
              <w:pStyle w:val="2"/>
              <w:ind w:left="0" w:firstLine="0" w:firstLineChars="0"/>
              <w:rPr>
                <w:color w:val="FF0000"/>
                <w:highlight w:val="none"/>
                <w:u w:val="single"/>
              </w:rPr>
            </w:pP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872"/>
              <w:gridCol w:w="1309"/>
              <w:gridCol w:w="1355"/>
              <w:gridCol w:w="127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日期</w:t>
                  </w:r>
                </w:p>
              </w:tc>
              <w:tc>
                <w:tcPr>
                  <w:tcW w:w="1872" w:type="dxa"/>
                </w:tcPr>
                <w:p>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样品名称/批次</w:t>
                  </w:r>
                </w:p>
              </w:tc>
              <w:tc>
                <w:tcPr>
                  <w:tcW w:w="130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送检方式</w:t>
                  </w:r>
                </w:p>
              </w:tc>
              <w:tc>
                <w:tcPr>
                  <w:tcW w:w="1355" w:type="dxa"/>
                </w:tcPr>
                <w:p>
                  <w:pPr>
                    <w:rPr>
                      <w:color w:val="000000" w:themeColor="text1"/>
                      <w:sz w:val="18"/>
                      <w:szCs w:val="18"/>
                      <w:highlight w:val="none"/>
                      <w14:textFill>
                        <w14:solidFill>
                          <w14:schemeClr w14:val="tx1"/>
                        </w14:solidFill>
                      </w14:textFill>
                    </w:rPr>
                  </w:pPr>
                  <w:r>
                    <w:rPr>
                      <w:b/>
                      <w:bCs/>
                      <w:color w:val="000000" w:themeColor="text1"/>
                      <w:sz w:val="18"/>
                      <w:szCs w:val="18"/>
                      <w:highlight w:val="none"/>
                      <w14:textFill>
                        <w14:solidFill>
                          <w14:schemeClr w14:val="tx1"/>
                        </w14:solidFill>
                      </w14:textFill>
                    </w:rPr>
                    <w:t>报告编号</w:t>
                  </w:r>
                </w:p>
              </w:tc>
              <w:tc>
                <w:tcPr>
                  <w:tcW w:w="127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报告日期</w:t>
                  </w:r>
                </w:p>
              </w:tc>
              <w:tc>
                <w:tcPr>
                  <w:tcW w:w="1585"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rFonts w:hint="default" w:eastAsia="宋体"/>
                      <w:color w:val="000000" w:themeColor="text1"/>
                      <w:sz w:val="18"/>
                      <w:szCs w:val="18"/>
                      <w:highlight w:val="none"/>
                      <w:lang w:val="en-US" w:eastAsia="zh-CN"/>
                      <w14:textFill>
                        <w14:solidFill>
                          <w14:schemeClr w14:val="tx1"/>
                        </w14:solidFill>
                      </w14:textFill>
                    </w:rPr>
                  </w:pPr>
                  <w:r>
                    <w:rPr>
                      <w:rFonts w:hint="default" w:eastAsia="宋体"/>
                      <w:color w:val="000000" w:themeColor="text1"/>
                      <w:sz w:val="18"/>
                      <w:szCs w:val="18"/>
                      <w:highlight w:val="none"/>
                      <w:lang w:val="en-US" w:eastAsia="zh-CN"/>
                      <w14:textFill>
                        <w14:solidFill>
                          <w14:schemeClr w14:val="tx1"/>
                        </w14:solidFill>
                      </w14:textFill>
                    </w:rPr>
                    <w:t>2022.8.</w:t>
                  </w:r>
                  <w:r>
                    <w:rPr>
                      <w:rFonts w:hint="eastAsia"/>
                      <w:color w:val="000000" w:themeColor="text1"/>
                      <w:sz w:val="18"/>
                      <w:szCs w:val="18"/>
                      <w:highlight w:val="none"/>
                      <w:lang w:val="en-US" w:eastAsia="zh-CN"/>
                      <w14:textFill>
                        <w14:solidFill>
                          <w14:schemeClr w14:val="tx1"/>
                        </w14:solidFill>
                      </w14:textFill>
                    </w:rPr>
                    <w:t>16</w:t>
                  </w:r>
                </w:p>
              </w:tc>
              <w:tc>
                <w:tcPr>
                  <w:tcW w:w="1872"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芝麻花生混合酱/2022.8.8</w:t>
                  </w:r>
                </w:p>
              </w:tc>
              <w:tc>
                <w:tcPr>
                  <w:tcW w:w="130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送检</w:t>
                  </w:r>
                </w:p>
              </w:tc>
              <w:tc>
                <w:tcPr>
                  <w:tcW w:w="1355" w:type="dxa"/>
                </w:tcPr>
                <w:p>
                  <w:pPr>
                    <w:rPr>
                      <w:rFonts w:hint="default" w:eastAsia="宋体"/>
                      <w:color w:val="000000" w:themeColor="text1"/>
                      <w:sz w:val="18"/>
                      <w:szCs w:val="18"/>
                      <w:highlight w:val="none"/>
                      <w:lang w:val="en-US" w:eastAsia="zh-CN"/>
                      <w14:textFill>
                        <w14:solidFill>
                          <w14:schemeClr w14:val="tx1"/>
                        </w14:solidFill>
                      </w14:textFill>
                    </w:rPr>
                  </w:pPr>
                  <w:r>
                    <w:rPr>
                      <w:rFonts w:hint="default" w:eastAsia="宋体"/>
                      <w:color w:val="000000" w:themeColor="text1"/>
                      <w:sz w:val="18"/>
                      <w:szCs w:val="18"/>
                      <w:highlight w:val="none"/>
                      <w:lang w:val="en-US" w:eastAsia="zh-CN"/>
                      <w14:textFill>
                        <w14:solidFill>
                          <w14:schemeClr w14:val="tx1"/>
                        </w14:solidFill>
                      </w14:textFill>
                    </w:rPr>
                    <w:t>NO.RD2208Q40685</w:t>
                  </w:r>
                </w:p>
              </w:tc>
              <w:tc>
                <w:tcPr>
                  <w:tcW w:w="1276" w:type="dxa"/>
                </w:tcPr>
                <w:p>
                  <w:pPr>
                    <w:rPr>
                      <w:color w:val="000000" w:themeColor="text1"/>
                      <w:sz w:val="18"/>
                      <w:szCs w:val="18"/>
                      <w:highlight w:val="none"/>
                      <w14:textFill>
                        <w14:solidFill>
                          <w14:schemeClr w14:val="tx1"/>
                        </w14:solidFill>
                      </w14:textFill>
                    </w:rPr>
                  </w:pPr>
                  <w:r>
                    <w:rPr>
                      <w:rFonts w:hint="default" w:eastAsia="宋体"/>
                      <w:color w:val="000000" w:themeColor="text1"/>
                      <w:sz w:val="18"/>
                      <w:szCs w:val="18"/>
                      <w:highlight w:val="none"/>
                      <w:lang w:val="en-US" w:eastAsia="zh-CN"/>
                      <w14:textFill>
                        <w14:solidFill>
                          <w14:schemeClr w14:val="tx1"/>
                        </w14:solidFill>
                      </w14:textFill>
                    </w:rPr>
                    <w:t>2022.8.</w:t>
                  </w:r>
                  <w:r>
                    <w:rPr>
                      <w:rFonts w:hint="eastAsia"/>
                      <w:color w:val="000000" w:themeColor="text1"/>
                      <w:sz w:val="18"/>
                      <w:szCs w:val="18"/>
                      <w:highlight w:val="none"/>
                      <w:lang w:val="en-US" w:eastAsia="zh-CN"/>
                      <w14:textFill>
                        <w14:solidFill>
                          <w14:schemeClr w14:val="tx1"/>
                        </w14:solidFill>
                      </w14:textFill>
                    </w:rPr>
                    <w:t>16</w:t>
                  </w:r>
                </w:p>
              </w:tc>
              <w:tc>
                <w:tcPr>
                  <w:tcW w:w="1585"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-03-</w:t>
                  </w:r>
                  <w:r>
                    <w:rPr>
                      <w:rFonts w:hint="eastAsia"/>
                      <w:color w:val="000000" w:themeColor="text1"/>
                      <w:sz w:val="18"/>
                      <w:szCs w:val="18"/>
                      <w:highlight w:val="none"/>
                      <w:lang w:val="en-US" w:eastAsia="zh-CN"/>
                      <w14:textFill>
                        <w14:solidFill>
                          <w14:schemeClr w14:val="tx1"/>
                        </w14:solidFill>
                      </w14:textFill>
                    </w:rPr>
                    <w:t>15</w:t>
                  </w:r>
                </w:p>
              </w:tc>
              <w:tc>
                <w:tcPr>
                  <w:tcW w:w="1872"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花生酱/2022.02.27</w:t>
                  </w:r>
                </w:p>
              </w:tc>
              <w:tc>
                <w:tcPr>
                  <w:tcW w:w="130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送检</w:t>
                  </w:r>
                </w:p>
              </w:tc>
              <w:tc>
                <w:tcPr>
                  <w:tcW w:w="1355" w:type="dxa"/>
                </w:tcPr>
                <w:p>
                  <w:pPr>
                    <w:pStyle w:val="2"/>
                    <w:ind w:left="0" w:firstLine="0" w:firstLineChars="0"/>
                    <w:rPr>
                      <w:rFonts w:hint="default" w:eastAsia="宋体"/>
                      <w:color w:val="000000" w:themeColor="text1"/>
                      <w:sz w:val="18"/>
                      <w:szCs w:val="18"/>
                      <w:highlight w:val="none"/>
                      <w:lang w:val="en-US" w:eastAsia="zh-CN"/>
                      <w14:textFill>
                        <w14:solidFill>
                          <w14:schemeClr w14:val="tx1"/>
                        </w14:solidFill>
                      </w14:textFill>
                    </w:rPr>
                  </w:pPr>
                  <w:r>
                    <w:rPr>
                      <w:rFonts w:hint="default" w:eastAsia="宋体"/>
                      <w:color w:val="000000" w:themeColor="text1"/>
                      <w:sz w:val="18"/>
                      <w:szCs w:val="18"/>
                      <w:highlight w:val="none"/>
                      <w:lang w:val="en-US" w:eastAsia="zh-CN"/>
                      <w14:textFill>
                        <w14:solidFill>
                          <w14:schemeClr w14:val="tx1"/>
                        </w14:solidFill>
                      </w14:textFill>
                    </w:rPr>
                    <w:t>NO.RD2203Q40007</w:t>
                  </w:r>
                </w:p>
              </w:tc>
              <w:tc>
                <w:tcPr>
                  <w:tcW w:w="1276"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202</w:t>
                  </w:r>
                  <w:r>
                    <w:rPr>
                      <w:rFonts w:hint="eastAsia"/>
                      <w:color w:val="000000" w:themeColor="text1"/>
                      <w:sz w:val="18"/>
                      <w:szCs w:val="18"/>
                      <w:highlight w:val="none"/>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-03-</w:t>
                  </w:r>
                  <w:r>
                    <w:rPr>
                      <w:rFonts w:hint="eastAsia"/>
                      <w:color w:val="000000" w:themeColor="text1"/>
                      <w:sz w:val="18"/>
                      <w:szCs w:val="18"/>
                      <w:highlight w:val="none"/>
                      <w:lang w:val="en-US" w:eastAsia="zh-CN"/>
                      <w14:textFill>
                        <w14:solidFill>
                          <w14:schemeClr w14:val="tx1"/>
                        </w14:solidFill>
                      </w14:textFill>
                    </w:rPr>
                    <w:t>15</w:t>
                  </w:r>
                </w:p>
              </w:tc>
              <w:tc>
                <w:tcPr>
                  <w:tcW w:w="1585"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bl>
          <w:p>
            <w:pPr>
              <w:rPr>
                <w:rFonts w:hint="default"/>
                <w:highlight w:val="none"/>
                <w:lang w:val="en-US" w:eastAsia="zh-CN"/>
              </w:rPr>
            </w:pPr>
          </w:p>
          <w:p>
            <w:pPr>
              <w:rPr>
                <w:rFonts w:hint="default" w:eastAsia="宋体"/>
                <w:color w:val="0000FF"/>
                <w:highlight w:val="none"/>
                <w:lang w:val="en-US" w:eastAsia="zh-CN"/>
              </w:rPr>
            </w:pPr>
            <w:r>
              <w:rPr>
                <w:highlight w:val="none"/>
              </w:rPr>
              <w:t>当</w:t>
            </w:r>
            <w:r>
              <w:rPr>
                <w:color w:val="000000" w:themeColor="text1"/>
                <w:highlight w:val="none"/>
                <w14:textFill>
                  <w14:solidFill>
                    <w14:schemeClr w14:val="tx1"/>
                  </w14:solidFill>
                </w14:textFill>
              </w:rPr>
              <w:t>确认结果表明上述不能被证实时，组织应对控制措施和（或） 其组合进行修改和重新评估。</w:t>
            </w:r>
            <w:r>
              <w:rPr>
                <w:rFonts w:hint="eastAsia"/>
                <w:color w:val="000000" w:themeColor="text1"/>
                <w:highlight w:val="none"/>
                <w:lang w:eastAsia="zh-CN"/>
                <w14:textFill>
                  <w14:solidFill>
                    <w14:schemeClr w14:val="tx1"/>
                  </w14:solidFill>
                </w14:textFill>
              </w:rPr>
              <w:t>—</w:t>
            </w:r>
            <w:r>
              <w:rPr>
                <w:rFonts w:hint="eastAsia"/>
                <w:color w:val="0000FF"/>
                <w:highlight w:val="none"/>
                <w:lang w:eastAsia="zh-CN"/>
              </w:rPr>
              <w:t>—</w:t>
            </w:r>
            <w:r>
              <w:rPr>
                <w:rFonts w:hint="eastAsia"/>
                <w:color w:val="0000FF"/>
                <w:highlight w:val="none"/>
                <w:lang w:val="en-US" w:eastAsia="zh-CN"/>
              </w:rPr>
              <w:t>审核周期内未发生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修改项目</w:t>
                  </w:r>
                </w:p>
              </w:tc>
              <w:tc>
                <w:tcPr>
                  <w:tcW w:w="4200"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具体修改内容</w:t>
                  </w:r>
                </w:p>
              </w:tc>
              <w:tc>
                <w:tcPr>
                  <w:tcW w:w="25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控制措施（过程参数、 严格度和/或其组合）</w:t>
                  </w:r>
                </w:p>
              </w:tc>
              <w:tc>
                <w:tcPr>
                  <w:tcW w:w="4200"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5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原料</w:t>
                  </w:r>
                </w:p>
              </w:tc>
              <w:tc>
                <w:tcPr>
                  <w:tcW w:w="4200"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5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工艺技术</w:t>
                  </w:r>
                </w:p>
              </w:tc>
              <w:tc>
                <w:tcPr>
                  <w:tcW w:w="4200"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5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成品特性</w:t>
                  </w:r>
                </w:p>
              </w:tc>
              <w:tc>
                <w:tcPr>
                  <w:tcW w:w="4200"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5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物流方式</w:t>
                  </w:r>
                </w:p>
              </w:tc>
              <w:tc>
                <w:tcPr>
                  <w:tcW w:w="4200"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589"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成品预期用途</w:t>
                  </w:r>
                </w:p>
              </w:tc>
              <w:tc>
                <w:tcPr>
                  <w:tcW w:w="4200" w:type="dxa"/>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589" w:type="dxa"/>
                </w:tcPr>
                <w:p>
                  <w:pPr>
                    <w:rPr>
                      <w:color w:val="000000" w:themeColor="text1"/>
                      <w:highlight w:val="none"/>
                      <w14:textFill>
                        <w14:solidFill>
                          <w14:schemeClr w14:val="tx1"/>
                        </w14:solidFill>
                      </w14:textFill>
                    </w:rPr>
                  </w:pPr>
                </w:p>
              </w:tc>
            </w:tr>
          </w:tbl>
          <w:p>
            <w:pPr>
              <w:rPr>
                <w:highlight w:val="none"/>
              </w:rPr>
            </w:pPr>
          </w:p>
        </w:tc>
        <w:tc>
          <w:tcPr>
            <w:tcW w:w="1290"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2174" w:type="dxa"/>
            <w:gridSpan w:val="2"/>
            <w:vMerge w:val="restart"/>
            <w:shd w:val="clear" w:color="auto" w:fill="auto"/>
          </w:tcPr>
          <w:p>
            <w:pPr>
              <w:jc w:val="left"/>
            </w:pPr>
            <w:r>
              <w:t>危害控制计划 (HACCP/OPRP 计划)</w:t>
            </w:r>
            <w:r>
              <w:br w:type="textWrapping"/>
            </w:r>
          </w:p>
        </w:tc>
        <w:tc>
          <w:tcPr>
            <w:tcW w:w="937" w:type="dxa"/>
            <w:gridSpan w:val="3"/>
            <w:vMerge w:val="restart"/>
            <w:shd w:val="clear" w:color="auto" w:fill="auto"/>
          </w:tcPr>
          <w:p>
            <w:r>
              <w:t>F8.5.4</w:t>
            </w:r>
          </w:p>
          <w:p/>
        </w:tc>
        <w:tc>
          <w:tcPr>
            <w:tcW w:w="744" w:type="dxa"/>
            <w:gridSpan w:val="2"/>
            <w:shd w:val="clear" w:color="auto" w:fill="auto"/>
          </w:tcPr>
          <w:p>
            <w:r>
              <w:t>文件名称</w:t>
            </w:r>
          </w:p>
        </w:tc>
        <w:tc>
          <w:tcPr>
            <w:tcW w:w="9523" w:type="dxa"/>
            <w:gridSpan w:val="2"/>
            <w:shd w:val="clear" w:color="auto" w:fill="auto"/>
          </w:tcPr>
          <w:p>
            <w:r>
              <w:t>如：</w:t>
            </w:r>
            <w:r>
              <w:rPr/>
              <w:sym w:font="Wingdings" w:char="00FE"/>
            </w:r>
            <w:r>
              <w:t>《</w:t>
            </w:r>
            <w:r>
              <w:rPr>
                <w:rFonts w:hint="eastAsia"/>
              </w:rPr>
              <w:t>危害控制</w:t>
            </w:r>
            <w:r>
              <w:t>计划》</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2074" w:hRule="atLeast"/>
        </w:trPr>
        <w:tc>
          <w:tcPr>
            <w:tcW w:w="2174" w:type="dxa"/>
            <w:gridSpan w:val="2"/>
            <w:vMerge w:val="continue"/>
            <w:shd w:val="clear" w:color="auto" w:fill="auto"/>
          </w:tcPr>
          <w:p/>
        </w:tc>
        <w:tc>
          <w:tcPr>
            <w:tcW w:w="937" w:type="dxa"/>
            <w:gridSpan w:val="3"/>
            <w:vMerge w:val="continue"/>
            <w:shd w:val="clear" w:color="auto" w:fill="auto"/>
          </w:tcPr>
          <w:p/>
        </w:tc>
        <w:tc>
          <w:tcPr>
            <w:tcW w:w="744" w:type="dxa"/>
            <w:gridSpan w:val="2"/>
            <w:shd w:val="clear" w:color="auto" w:fill="auto"/>
          </w:tcPr>
          <w:p>
            <w:r>
              <w:t>运行证据</w:t>
            </w:r>
          </w:p>
        </w:tc>
        <w:tc>
          <w:tcPr>
            <w:tcW w:w="9523" w:type="dxa"/>
            <w:gridSpan w:val="2"/>
            <w:shd w:val="clear" w:color="auto" w:fill="auto"/>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芝麻酱、花生酱、芝麻花生混合酱生产过程涉及的OPRP、CCP点如下：</w:t>
            </w:r>
          </w:p>
          <w:tbl>
            <w:tblPr>
              <w:tblStyle w:val="11"/>
              <w:tblpPr w:leftFromText="180" w:rightFromText="180" w:vertAnchor="text" w:horzAnchor="page" w:tblpX="349" w:tblpY="621"/>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202"/>
              <w:gridCol w:w="2403"/>
              <w:gridCol w:w="1572"/>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605" w:type="dxa"/>
                  <w:vMerge w:val="restart"/>
                  <w:noWrap w:val="0"/>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202" w:type="dxa"/>
                  <w:vMerge w:val="restart"/>
                  <w:noWrap w:val="0"/>
                  <w:vAlign w:val="center"/>
                </w:tcPr>
                <w:p>
                  <w:pPr>
                    <w:spacing w:line="320" w:lineRule="exact"/>
                    <w:jc w:val="center"/>
                    <w:rPr>
                      <w:rFonts w:ascii="宋体" w:hAnsi="宋体"/>
                      <w:sz w:val="18"/>
                      <w:szCs w:val="18"/>
                    </w:rPr>
                  </w:pPr>
                  <w:r>
                    <w:rPr>
                      <w:rFonts w:ascii="宋体" w:hAnsi="宋体"/>
                      <w:sz w:val="18"/>
                      <w:szCs w:val="18"/>
                    </w:rPr>
                    <w:t>显著危害</w:t>
                  </w:r>
                </w:p>
              </w:tc>
              <w:tc>
                <w:tcPr>
                  <w:tcW w:w="2403" w:type="dxa"/>
                  <w:vMerge w:val="restart"/>
                  <w:noWrap w:val="0"/>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572" w:type="dxa"/>
                  <w:vMerge w:val="restart"/>
                  <w:noWrap w:val="0"/>
                  <w:vAlign w:val="center"/>
                </w:tcPr>
                <w:p>
                  <w:pPr>
                    <w:spacing w:line="320" w:lineRule="exact"/>
                    <w:jc w:val="center"/>
                    <w:rPr>
                      <w:rFonts w:hint="default" w:ascii="宋体" w:hAnsi="宋体" w:eastAsia="宋体"/>
                      <w:sz w:val="18"/>
                      <w:szCs w:val="18"/>
                      <w:lang w:val="en-US" w:eastAsia="zh-CN"/>
                    </w:rPr>
                  </w:pPr>
                  <w:r>
                    <w:rPr>
                      <w:rFonts w:hint="eastAsia" w:ascii="宋体" w:hAnsi="宋体"/>
                      <w:sz w:val="18"/>
                      <w:szCs w:val="18"/>
                      <w:lang w:val="en-US" w:eastAsia="zh-CN"/>
                    </w:rPr>
                    <w:t>监控方法</w:t>
                  </w:r>
                </w:p>
              </w:tc>
              <w:tc>
                <w:tcPr>
                  <w:tcW w:w="1915" w:type="dxa"/>
                  <w:vMerge w:val="restart"/>
                  <w:noWrap w:val="0"/>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605" w:type="dxa"/>
                  <w:vMerge w:val="continue"/>
                  <w:noWrap w:val="0"/>
                  <w:vAlign w:val="center"/>
                </w:tcPr>
                <w:p>
                  <w:pPr>
                    <w:spacing w:line="320" w:lineRule="exact"/>
                    <w:jc w:val="center"/>
                    <w:rPr>
                      <w:rFonts w:ascii="宋体" w:hAnsi="宋体"/>
                      <w:sz w:val="18"/>
                      <w:szCs w:val="18"/>
                    </w:rPr>
                  </w:pPr>
                </w:p>
              </w:tc>
              <w:tc>
                <w:tcPr>
                  <w:tcW w:w="1202" w:type="dxa"/>
                  <w:vMerge w:val="continue"/>
                  <w:noWrap w:val="0"/>
                  <w:vAlign w:val="center"/>
                </w:tcPr>
                <w:p>
                  <w:pPr>
                    <w:spacing w:line="320" w:lineRule="exact"/>
                    <w:jc w:val="center"/>
                    <w:rPr>
                      <w:rFonts w:ascii="宋体" w:hAnsi="宋体"/>
                      <w:sz w:val="18"/>
                      <w:szCs w:val="18"/>
                    </w:rPr>
                  </w:pPr>
                </w:p>
              </w:tc>
              <w:tc>
                <w:tcPr>
                  <w:tcW w:w="2403" w:type="dxa"/>
                  <w:vMerge w:val="continue"/>
                  <w:noWrap w:val="0"/>
                  <w:vAlign w:val="center"/>
                </w:tcPr>
                <w:p>
                  <w:pPr>
                    <w:spacing w:line="320" w:lineRule="exact"/>
                    <w:jc w:val="center"/>
                    <w:rPr>
                      <w:rFonts w:ascii="宋体" w:hAnsi="宋体"/>
                      <w:sz w:val="18"/>
                      <w:szCs w:val="18"/>
                    </w:rPr>
                  </w:pPr>
                </w:p>
              </w:tc>
              <w:tc>
                <w:tcPr>
                  <w:tcW w:w="1572" w:type="dxa"/>
                  <w:vMerge w:val="continue"/>
                  <w:noWrap w:val="0"/>
                  <w:vAlign w:val="center"/>
                </w:tcPr>
                <w:p>
                  <w:pPr>
                    <w:spacing w:line="320" w:lineRule="exact"/>
                    <w:jc w:val="center"/>
                    <w:rPr>
                      <w:rFonts w:ascii="宋体" w:hAnsi="宋体"/>
                      <w:sz w:val="18"/>
                      <w:szCs w:val="18"/>
                    </w:rPr>
                  </w:pPr>
                </w:p>
              </w:tc>
              <w:tc>
                <w:tcPr>
                  <w:tcW w:w="1915" w:type="dxa"/>
                  <w:vMerge w:val="continue"/>
                  <w:noWrap w:val="0"/>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1605" w:type="dxa"/>
                  <w:noWrap w:val="0"/>
                  <w:vAlign w:val="center"/>
                </w:tcPr>
                <w:p>
                  <w:pPr>
                    <w:spacing w:line="360" w:lineRule="exact"/>
                    <w:jc w:val="left"/>
                    <w:rPr>
                      <w:rFonts w:ascii="宋体" w:hAnsi="宋体"/>
                      <w:sz w:val="18"/>
                      <w:szCs w:val="18"/>
                    </w:rPr>
                  </w:pPr>
                  <w:r>
                    <w:rPr>
                      <w:rFonts w:ascii="宋体" w:hAnsi="宋体"/>
                      <w:sz w:val="18"/>
                      <w:szCs w:val="18"/>
                    </w:rPr>
                    <w:t>原辅料采购及验收</w:t>
                  </w:r>
                  <w:r>
                    <w:rPr>
                      <w:rFonts w:hint="eastAsia" w:ascii="宋体" w:hAnsi="宋体"/>
                      <w:sz w:val="18"/>
                      <w:szCs w:val="18"/>
                    </w:rPr>
                    <w:t>O</w:t>
                  </w:r>
                  <w:r>
                    <w:rPr>
                      <w:rFonts w:ascii="宋体" w:hAnsi="宋体"/>
                      <w:sz w:val="18"/>
                      <w:szCs w:val="18"/>
                    </w:rPr>
                    <w:t>PRP1</w:t>
                  </w:r>
                </w:p>
              </w:tc>
              <w:tc>
                <w:tcPr>
                  <w:tcW w:w="1202" w:type="dxa"/>
                  <w:noWrap w:val="0"/>
                  <w:vAlign w:val="center"/>
                </w:tcPr>
                <w:p>
                  <w:pPr>
                    <w:spacing w:line="360" w:lineRule="exact"/>
                    <w:jc w:val="left"/>
                    <w:rPr>
                      <w:rFonts w:hint="eastAsia" w:ascii="宋体" w:hAnsi="宋体"/>
                      <w:sz w:val="18"/>
                      <w:szCs w:val="18"/>
                    </w:rPr>
                  </w:pPr>
                  <w:r>
                    <w:rPr>
                      <w:rFonts w:hint="eastAsia" w:ascii="宋体" w:hAnsi="宋体"/>
                      <w:sz w:val="18"/>
                      <w:szCs w:val="18"/>
                    </w:rPr>
                    <w:t>农药、重金属超标</w:t>
                  </w:r>
                  <w:r>
                    <w:rPr>
                      <w:rFonts w:hint="eastAsia" w:ascii="宋体" w:hAnsi="宋体"/>
                      <w:sz w:val="18"/>
                      <w:szCs w:val="18"/>
                      <w:lang w:eastAsia="zh-CN"/>
                    </w:rPr>
                    <w:t>、</w:t>
                  </w:r>
                  <w:r>
                    <w:rPr>
                      <w:rFonts w:hint="eastAsia" w:ascii="宋体" w:hAnsi="宋体"/>
                      <w:sz w:val="18"/>
                      <w:szCs w:val="18"/>
                    </w:rPr>
                    <w:t>迁移物质等</w:t>
                  </w:r>
                </w:p>
              </w:tc>
              <w:tc>
                <w:tcPr>
                  <w:tcW w:w="2403" w:type="dxa"/>
                  <w:noWrap w:val="0"/>
                  <w:vAlign w:val="center"/>
                </w:tcPr>
                <w:p>
                  <w:pPr>
                    <w:spacing w:line="320" w:lineRule="exact"/>
                    <w:rPr>
                      <w:rFonts w:hint="eastAsia" w:ascii="宋体" w:hAnsi="宋体"/>
                      <w:sz w:val="18"/>
                      <w:szCs w:val="18"/>
                    </w:rPr>
                  </w:pPr>
                  <w:r>
                    <w:rPr>
                      <w:rFonts w:hint="eastAsia" w:ascii="宋体" w:hAnsi="宋体"/>
                      <w:sz w:val="18"/>
                      <w:szCs w:val="18"/>
                      <w:lang w:val="en-US" w:eastAsia="zh-CN"/>
                    </w:rPr>
                    <w:t>从合格供方采购，每年索取合格供方资质、产品年检报告，</w:t>
                  </w:r>
                </w:p>
              </w:tc>
              <w:tc>
                <w:tcPr>
                  <w:tcW w:w="1572"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查看是否来自合格供方，每年索取第三方检测报告</w:t>
                  </w:r>
                </w:p>
              </w:tc>
              <w:tc>
                <w:tcPr>
                  <w:tcW w:w="1915" w:type="dxa"/>
                  <w:noWrap w:val="0"/>
                  <w:vAlign w:val="center"/>
                </w:tcPr>
                <w:p>
                  <w:pPr>
                    <w:spacing w:line="320" w:lineRule="exact"/>
                    <w:rPr>
                      <w:rFonts w:ascii="宋体" w:hAnsi="宋体"/>
                      <w:sz w:val="18"/>
                      <w:szCs w:val="18"/>
                    </w:rPr>
                  </w:pPr>
                  <w:r>
                    <w:rPr>
                      <w:rFonts w:ascii="宋体" w:hAnsi="宋体"/>
                      <w:sz w:val="18"/>
                      <w:szCs w:val="18"/>
                    </w:rPr>
                    <w:t>原辅料验收记录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605" w:type="dxa"/>
                  <w:noWrap w:val="0"/>
                  <w:vAlign w:val="center"/>
                </w:tcPr>
                <w:p>
                  <w:pPr>
                    <w:spacing w:line="320" w:lineRule="exact"/>
                    <w:jc w:val="center"/>
                    <w:rPr>
                      <w:rFonts w:hint="eastAsia" w:ascii="宋体" w:hAnsi="宋体" w:eastAsia="宋体"/>
                      <w:sz w:val="18"/>
                      <w:szCs w:val="18"/>
                      <w:lang w:eastAsia="zh-CN"/>
                    </w:rPr>
                  </w:pPr>
                  <w:r>
                    <w:rPr>
                      <w:rFonts w:hint="eastAsia" w:ascii="宋体" w:hAnsi="宋体"/>
                      <w:sz w:val="18"/>
                      <w:szCs w:val="18"/>
                    </w:rPr>
                    <w:t>炒制O</w:t>
                  </w:r>
                  <w:r>
                    <w:rPr>
                      <w:rFonts w:ascii="宋体" w:hAnsi="宋体"/>
                      <w:sz w:val="18"/>
                      <w:szCs w:val="18"/>
                    </w:rPr>
                    <w:t>PRP2</w:t>
                  </w:r>
                </w:p>
              </w:tc>
              <w:tc>
                <w:tcPr>
                  <w:tcW w:w="1202" w:type="dxa"/>
                  <w:noWrap w:val="0"/>
                  <w:vAlign w:val="center"/>
                </w:tcPr>
                <w:p>
                  <w:pPr>
                    <w:spacing w:line="320" w:lineRule="exact"/>
                    <w:jc w:val="center"/>
                    <w:rPr>
                      <w:rFonts w:hint="eastAsia" w:ascii="宋体" w:hAnsi="宋体"/>
                      <w:sz w:val="18"/>
                      <w:szCs w:val="18"/>
                    </w:rPr>
                  </w:pPr>
                  <w:r>
                    <w:rPr>
                      <w:rFonts w:hint="eastAsia" w:ascii="宋体" w:hAnsi="宋体"/>
                      <w:sz w:val="18"/>
                      <w:szCs w:val="18"/>
                    </w:rPr>
                    <w:t>致病菌</w:t>
                  </w:r>
                  <w:r>
                    <w:rPr>
                      <w:rFonts w:hint="eastAsia" w:ascii="宋体" w:hAnsi="宋体"/>
                      <w:sz w:val="18"/>
                      <w:szCs w:val="18"/>
                      <w:lang w:val="en-US" w:eastAsia="zh-CN"/>
                    </w:rPr>
                    <w:t>等微生物</w:t>
                  </w:r>
                  <w:r>
                    <w:rPr>
                      <w:rFonts w:hint="eastAsia" w:ascii="宋体" w:hAnsi="宋体"/>
                      <w:sz w:val="18"/>
                      <w:szCs w:val="18"/>
                    </w:rPr>
                    <w:t>超标</w:t>
                  </w:r>
                </w:p>
              </w:tc>
              <w:tc>
                <w:tcPr>
                  <w:tcW w:w="2403" w:type="dxa"/>
                  <w:noWrap w:val="0"/>
                  <w:vAlign w:val="center"/>
                </w:tcPr>
                <w:p>
                  <w:pPr>
                    <w:spacing w:line="320" w:lineRule="exact"/>
                    <w:rPr>
                      <w:rFonts w:ascii="宋体" w:hAnsi="宋体"/>
                      <w:sz w:val="18"/>
                      <w:szCs w:val="18"/>
                    </w:rPr>
                  </w:pPr>
                  <w:r>
                    <w:rPr>
                      <w:rFonts w:hint="eastAsia" w:ascii="宋体" w:hAnsi="宋体"/>
                      <w:sz w:val="18"/>
                      <w:szCs w:val="18"/>
                    </w:rPr>
                    <w:t>控制温度≥</w:t>
                  </w:r>
                  <w:r>
                    <w:rPr>
                      <w:rFonts w:hint="eastAsia" w:ascii="宋体" w:hAnsi="宋体"/>
                      <w:sz w:val="18"/>
                      <w:szCs w:val="18"/>
                      <w:lang w:val="en-US" w:eastAsia="zh-CN"/>
                    </w:rPr>
                    <w:t>18</w:t>
                  </w:r>
                  <w:r>
                    <w:rPr>
                      <w:rFonts w:ascii="宋体" w:hAnsi="宋体"/>
                      <w:sz w:val="18"/>
                      <w:szCs w:val="18"/>
                    </w:rPr>
                    <w:t>0</w:t>
                  </w:r>
                  <w:r>
                    <w:rPr>
                      <w:rFonts w:hint="eastAsia" w:ascii="宋体" w:hAnsi="宋体"/>
                      <w:sz w:val="18"/>
                      <w:szCs w:val="18"/>
                    </w:rPr>
                    <w:t>℃</w:t>
                  </w:r>
                </w:p>
                <w:p>
                  <w:pPr>
                    <w:spacing w:line="320" w:lineRule="exact"/>
                    <w:rPr>
                      <w:rFonts w:hint="eastAsia" w:ascii="宋体" w:hAnsi="宋体"/>
                      <w:sz w:val="18"/>
                      <w:szCs w:val="18"/>
                    </w:rPr>
                  </w:pPr>
                  <w:r>
                    <w:rPr>
                      <w:rFonts w:hint="eastAsia" w:ascii="宋体" w:hAnsi="宋体"/>
                      <w:sz w:val="18"/>
                      <w:szCs w:val="18"/>
                    </w:rPr>
                    <w:t>时间≥</w:t>
                  </w:r>
                  <w:r>
                    <w:rPr>
                      <w:rFonts w:hint="eastAsia" w:ascii="宋体" w:hAnsi="宋体"/>
                      <w:sz w:val="18"/>
                      <w:szCs w:val="18"/>
                      <w:lang w:val="en-US" w:eastAsia="zh-CN"/>
                    </w:rPr>
                    <w:t>45</w:t>
                  </w:r>
                  <w:r>
                    <w:rPr>
                      <w:rFonts w:hint="eastAsia" w:ascii="宋体" w:hAnsi="宋体"/>
                      <w:sz w:val="18"/>
                      <w:szCs w:val="18"/>
                    </w:rPr>
                    <w:t>min</w:t>
                  </w:r>
                </w:p>
              </w:tc>
              <w:tc>
                <w:tcPr>
                  <w:tcW w:w="1572" w:type="dxa"/>
                  <w:noWrap w:val="0"/>
                  <w:vAlign w:val="center"/>
                </w:tcPr>
                <w:p>
                  <w:pPr>
                    <w:spacing w:line="320" w:lineRule="exact"/>
                    <w:rPr>
                      <w:rFonts w:hint="eastAsia" w:ascii="宋体" w:hAnsi="宋体" w:eastAsia="宋体"/>
                      <w:sz w:val="18"/>
                      <w:szCs w:val="18"/>
                      <w:lang w:val="en-US" w:eastAsia="zh-CN"/>
                    </w:rPr>
                  </w:pPr>
                  <w:r>
                    <w:rPr>
                      <w:rFonts w:ascii="宋体" w:hAnsi="宋体"/>
                      <w:sz w:val="18"/>
                      <w:szCs w:val="18"/>
                    </w:rPr>
                    <w:t>操作工每批</w:t>
                  </w:r>
                  <w:r>
                    <w:rPr>
                      <w:rFonts w:hint="eastAsia" w:ascii="宋体" w:hAnsi="宋体"/>
                      <w:sz w:val="18"/>
                      <w:szCs w:val="18"/>
                      <w:lang w:val="en-US" w:eastAsia="zh-CN"/>
                    </w:rPr>
                    <w:t>记录</w:t>
                  </w:r>
                  <w:r>
                    <w:rPr>
                      <w:rFonts w:hint="eastAsia" w:ascii="宋体" w:hAnsi="宋体"/>
                      <w:sz w:val="18"/>
                      <w:szCs w:val="18"/>
                    </w:rPr>
                    <w:t>炒制温度、时间</w:t>
                  </w:r>
                </w:p>
              </w:tc>
              <w:tc>
                <w:tcPr>
                  <w:tcW w:w="1915"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炒制工序记录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605" w:type="dxa"/>
                  <w:noWrap w:val="0"/>
                  <w:vAlign w:val="center"/>
                </w:tcPr>
                <w:p>
                  <w:pPr>
                    <w:spacing w:line="320" w:lineRule="exact"/>
                    <w:jc w:val="center"/>
                    <w:rPr>
                      <w:rFonts w:ascii="宋体" w:hAnsi="宋体"/>
                      <w:sz w:val="18"/>
                      <w:szCs w:val="18"/>
                    </w:rPr>
                  </w:pPr>
                  <w:r>
                    <w:rPr>
                      <w:rFonts w:hint="eastAsia" w:ascii="宋体" w:hAnsi="宋体"/>
                      <w:sz w:val="18"/>
                      <w:szCs w:val="18"/>
                    </w:rPr>
                    <w:t>内包材杀菌消毒</w:t>
                  </w:r>
                </w:p>
                <w:p>
                  <w:pPr>
                    <w:spacing w:line="320" w:lineRule="exact"/>
                    <w:jc w:val="center"/>
                    <w:rPr>
                      <w:rFonts w:hint="eastAsia" w:ascii="宋体" w:hAnsi="宋体"/>
                      <w:sz w:val="18"/>
                      <w:szCs w:val="18"/>
                    </w:rPr>
                  </w:pPr>
                  <w:r>
                    <w:rPr>
                      <w:rFonts w:hint="eastAsia" w:ascii="宋体" w:hAnsi="宋体"/>
                      <w:sz w:val="18"/>
                      <w:szCs w:val="18"/>
                    </w:rPr>
                    <w:t>O</w:t>
                  </w:r>
                  <w:r>
                    <w:rPr>
                      <w:rFonts w:ascii="宋体" w:hAnsi="宋体"/>
                      <w:sz w:val="18"/>
                      <w:szCs w:val="18"/>
                    </w:rPr>
                    <w:t>PRP3</w:t>
                  </w:r>
                </w:p>
              </w:tc>
              <w:tc>
                <w:tcPr>
                  <w:tcW w:w="1202" w:type="dxa"/>
                  <w:noWrap w:val="0"/>
                  <w:vAlign w:val="center"/>
                </w:tcPr>
                <w:p>
                  <w:pPr>
                    <w:spacing w:line="320" w:lineRule="exact"/>
                    <w:jc w:val="center"/>
                    <w:rPr>
                      <w:rFonts w:ascii="宋体" w:hAnsi="宋体"/>
                      <w:sz w:val="18"/>
                      <w:szCs w:val="18"/>
                    </w:rPr>
                  </w:pPr>
                  <w:r>
                    <w:rPr>
                      <w:rFonts w:hint="eastAsia" w:ascii="宋体" w:hAnsi="宋体"/>
                      <w:sz w:val="18"/>
                      <w:szCs w:val="18"/>
                    </w:rPr>
                    <w:t>致病菌</w:t>
                  </w:r>
                  <w:r>
                    <w:rPr>
                      <w:rFonts w:hint="eastAsia" w:ascii="宋体" w:hAnsi="宋体"/>
                      <w:sz w:val="18"/>
                      <w:szCs w:val="18"/>
                      <w:lang w:val="en-US" w:eastAsia="zh-CN"/>
                    </w:rPr>
                    <w:t>等微生物</w:t>
                  </w:r>
                  <w:r>
                    <w:rPr>
                      <w:rFonts w:hint="eastAsia" w:ascii="宋体" w:hAnsi="宋体"/>
                      <w:sz w:val="18"/>
                      <w:szCs w:val="18"/>
                    </w:rPr>
                    <w:t>超标</w:t>
                  </w:r>
                </w:p>
              </w:tc>
              <w:tc>
                <w:tcPr>
                  <w:tcW w:w="2403" w:type="dxa"/>
                  <w:noWrap w:val="0"/>
                  <w:vAlign w:val="center"/>
                </w:tcPr>
                <w:p>
                  <w:pPr>
                    <w:spacing w:line="320" w:lineRule="exact"/>
                    <w:rPr>
                      <w:rFonts w:ascii="宋体" w:hAnsi="宋体"/>
                      <w:sz w:val="18"/>
                      <w:szCs w:val="18"/>
                    </w:rPr>
                  </w:pPr>
                  <w:r>
                    <w:rPr>
                      <w:rFonts w:hint="eastAsia" w:ascii="宋体" w:hAnsi="宋体"/>
                      <w:sz w:val="18"/>
                      <w:szCs w:val="18"/>
                    </w:rPr>
                    <w:t>紫外线灭菌</w:t>
                  </w:r>
                  <w:r>
                    <w:rPr>
                      <w:rFonts w:ascii="宋体" w:hAnsi="宋体"/>
                      <w:sz w:val="18"/>
                      <w:szCs w:val="18"/>
                    </w:rPr>
                    <w:t>30</w:t>
                  </w:r>
                  <w:r>
                    <w:rPr>
                      <w:rFonts w:hint="eastAsia" w:ascii="宋体" w:hAnsi="宋体"/>
                      <w:sz w:val="18"/>
                      <w:szCs w:val="18"/>
                    </w:rPr>
                    <w:t>min以上</w:t>
                  </w:r>
                </w:p>
              </w:tc>
              <w:tc>
                <w:tcPr>
                  <w:tcW w:w="1572" w:type="dxa"/>
                  <w:noWrap w:val="0"/>
                  <w:vAlign w:val="center"/>
                </w:tcPr>
                <w:p>
                  <w:pPr>
                    <w:spacing w:line="320" w:lineRule="exact"/>
                    <w:rPr>
                      <w:rFonts w:hint="default" w:ascii="宋体" w:hAnsi="宋体" w:eastAsia="宋体"/>
                      <w:sz w:val="18"/>
                      <w:szCs w:val="18"/>
                      <w:lang w:val="en-US" w:eastAsia="zh-CN"/>
                    </w:rPr>
                  </w:pPr>
                  <w:r>
                    <w:rPr>
                      <w:rFonts w:ascii="宋体" w:hAnsi="宋体"/>
                      <w:sz w:val="18"/>
                      <w:szCs w:val="18"/>
                    </w:rPr>
                    <w:t>操作工</w:t>
                  </w:r>
                  <w:r>
                    <w:rPr>
                      <w:rFonts w:hint="eastAsia" w:ascii="宋体" w:hAnsi="宋体"/>
                      <w:sz w:val="18"/>
                      <w:szCs w:val="18"/>
                      <w:lang w:val="en-US" w:eastAsia="zh-CN"/>
                    </w:rPr>
                    <w:t>/</w:t>
                  </w:r>
                  <w:r>
                    <w:rPr>
                      <w:rFonts w:ascii="宋体" w:hAnsi="宋体"/>
                      <w:sz w:val="18"/>
                      <w:szCs w:val="18"/>
                    </w:rPr>
                    <w:t>主管每批</w:t>
                  </w:r>
                  <w:r>
                    <w:rPr>
                      <w:rFonts w:hint="eastAsia" w:ascii="宋体" w:hAnsi="宋体"/>
                      <w:sz w:val="18"/>
                      <w:szCs w:val="18"/>
                      <w:lang w:val="en-US" w:eastAsia="zh-CN"/>
                    </w:rPr>
                    <w:t>查看并记录灭菌时间</w:t>
                  </w:r>
                </w:p>
              </w:tc>
              <w:tc>
                <w:tcPr>
                  <w:tcW w:w="1915" w:type="dxa"/>
                  <w:noWrap w:val="0"/>
                  <w:vAlign w:val="center"/>
                </w:tcPr>
                <w:p>
                  <w:pPr>
                    <w:spacing w:line="320" w:lineRule="exact"/>
                    <w:rPr>
                      <w:rFonts w:hint="eastAsia" w:ascii="宋体" w:hAnsi="宋体" w:eastAsia="宋体"/>
                      <w:sz w:val="18"/>
                      <w:szCs w:val="18"/>
                      <w:lang w:val="en-US" w:eastAsia="zh-CN"/>
                    </w:rPr>
                  </w:pPr>
                  <w:r>
                    <w:rPr>
                      <w:rFonts w:hint="eastAsia" w:ascii="宋体" w:hAnsi="宋体"/>
                      <w:sz w:val="18"/>
                      <w:szCs w:val="18"/>
                    </w:rPr>
                    <w:t>内包材杀菌消毒</w:t>
                  </w:r>
                  <w:r>
                    <w:rPr>
                      <w:rFonts w:hint="eastAsia" w:ascii="宋体" w:hAnsi="宋体"/>
                      <w:sz w:val="18"/>
                      <w:szCs w:val="18"/>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605" w:type="dxa"/>
                  <w:noWrap w:val="0"/>
                  <w:vAlign w:val="center"/>
                </w:tcPr>
                <w:p>
                  <w:pPr>
                    <w:spacing w:line="320" w:lineRule="exact"/>
                    <w:jc w:val="center"/>
                    <w:rPr>
                      <w:rFonts w:hint="eastAsia" w:ascii="宋体" w:hAnsi="宋体"/>
                      <w:sz w:val="18"/>
                      <w:szCs w:val="18"/>
                      <w:lang w:val="en-US" w:eastAsia="zh-CN"/>
                    </w:rPr>
                  </w:pPr>
                  <w:r>
                    <w:rPr>
                      <w:rFonts w:hint="eastAsia" w:ascii="宋体" w:hAnsi="宋体"/>
                      <w:sz w:val="18"/>
                      <w:szCs w:val="18"/>
                      <w:lang w:val="en-US" w:eastAsia="zh-CN"/>
                    </w:rPr>
                    <w:t>灌装间</w:t>
                  </w:r>
                </w:p>
                <w:p>
                  <w:pPr>
                    <w:spacing w:line="320" w:lineRule="exact"/>
                    <w:jc w:val="center"/>
                    <w:rPr>
                      <w:rFonts w:hint="eastAsia" w:ascii="宋体" w:hAnsi="宋体"/>
                      <w:sz w:val="18"/>
                      <w:szCs w:val="18"/>
                    </w:rPr>
                  </w:pPr>
                  <w:r>
                    <w:rPr>
                      <w:rFonts w:hint="eastAsia" w:ascii="宋体" w:hAnsi="宋体"/>
                      <w:sz w:val="18"/>
                      <w:szCs w:val="18"/>
                    </w:rPr>
                    <w:t>O</w:t>
                  </w:r>
                  <w:r>
                    <w:rPr>
                      <w:rFonts w:ascii="宋体" w:hAnsi="宋体"/>
                      <w:sz w:val="18"/>
                      <w:szCs w:val="18"/>
                    </w:rPr>
                    <w:t>PRP4</w:t>
                  </w:r>
                </w:p>
              </w:tc>
              <w:tc>
                <w:tcPr>
                  <w:tcW w:w="1202" w:type="dxa"/>
                  <w:noWrap w:val="0"/>
                  <w:vAlign w:val="center"/>
                </w:tcPr>
                <w:p>
                  <w:pPr>
                    <w:spacing w:line="320" w:lineRule="exact"/>
                    <w:jc w:val="center"/>
                    <w:rPr>
                      <w:rFonts w:ascii="宋体" w:hAnsi="宋体"/>
                      <w:color w:val="auto"/>
                      <w:sz w:val="18"/>
                      <w:szCs w:val="18"/>
                    </w:rPr>
                  </w:pPr>
                  <w:r>
                    <w:rPr>
                      <w:rFonts w:hint="eastAsia" w:ascii="宋体" w:hAnsi="宋体"/>
                      <w:sz w:val="18"/>
                      <w:szCs w:val="18"/>
                    </w:rPr>
                    <w:t>致病菌</w:t>
                  </w:r>
                  <w:r>
                    <w:rPr>
                      <w:rFonts w:hint="eastAsia" w:ascii="宋体" w:hAnsi="宋体"/>
                      <w:sz w:val="18"/>
                      <w:szCs w:val="18"/>
                      <w:lang w:val="en-US" w:eastAsia="zh-CN"/>
                    </w:rPr>
                    <w:t>等微生物</w:t>
                  </w:r>
                  <w:r>
                    <w:rPr>
                      <w:rFonts w:hint="eastAsia" w:ascii="宋体" w:hAnsi="宋体"/>
                      <w:sz w:val="18"/>
                      <w:szCs w:val="18"/>
                    </w:rPr>
                    <w:t>超标</w:t>
                  </w:r>
                </w:p>
              </w:tc>
              <w:tc>
                <w:tcPr>
                  <w:tcW w:w="2403" w:type="dxa"/>
                  <w:noWrap w:val="0"/>
                  <w:vAlign w:val="center"/>
                </w:tcPr>
                <w:p>
                  <w:pPr>
                    <w:spacing w:line="320" w:lineRule="exact"/>
                    <w:rPr>
                      <w:rFonts w:hint="default" w:ascii="宋体" w:hAnsi="宋体" w:eastAsia="宋体"/>
                      <w:color w:val="auto"/>
                      <w:sz w:val="18"/>
                      <w:szCs w:val="18"/>
                      <w:lang w:val="en-US" w:eastAsia="zh-CN"/>
                    </w:rPr>
                  </w:pPr>
                  <w:r>
                    <w:rPr>
                      <w:rFonts w:hint="default" w:ascii="宋体" w:hAnsi="宋体" w:eastAsia="宋体"/>
                      <w:color w:val="auto"/>
                      <w:sz w:val="18"/>
                      <w:szCs w:val="18"/>
                      <w:lang w:val="en-US" w:eastAsia="zh-CN"/>
                    </w:rPr>
                    <w:t>紫外线灭菌30min以上或臭氧杀菌30min以上</w:t>
                  </w:r>
                </w:p>
              </w:tc>
              <w:tc>
                <w:tcPr>
                  <w:tcW w:w="1572" w:type="dxa"/>
                  <w:noWrap w:val="0"/>
                  <w:vAlign w:val="center"/>
                </w:tcPr>
                <w:p>
                  <w:pPr>
                    <w:spacing w:line="320" w:lineRule="exact"/>
                    <w:rPr>
                      <w:rFonts w:hint="default" w:ascii="宋体" w:hAnsi="宋体"/>
                      <w:color w:val="FF0000"/>
                      <w:sz w:val="18"/>
                      <w:szCs w:val="18"/>
                      <w:lang w:val="en-US" w:eastAsia="zh-CN"/>
                    </w:rPr>
                  </w:pPr>
                  <w:r>
                    <w:rPr>
                      <w:rFonts w:ascii="宋体" w:hAnsi="宋体"/>
                      <w:sz w:val="18"/>
                      <w:szCs w:val="18"/>
                    </w:rPr>
                    <w:t>操作工</w:t>
                  </w:r>
                  <w:r>
                    <w:rPr>
                      <w:rFonts w:hint="eastAsia" w:ascii="宋体" w:hAnsi="宋体"/>
                      <w:sz w:val="18"/>
                      <w:szCs w:val="18"/>
                      <w:lang w:val="en-US" w:eastAsia="zh-CN"/>
                    </w:rPr>
                    <w:t>/</w:t>
                  </w:r>
                  <w:r>
                    <w:rPr>
                      <w:rFonts w:ascii="宋体" w:hAnsi="宋体"/>
                      <w:sz w:val="18"/>
                      <w:szCs w:val="18"/>
                    </w:rPr>
                    <w:t>主管每批</w:t>
                  </w:r>
                  <w:r>
                    <w:rPr>
                      <w:rFonts w:hint="eastAsia" w:ascii="宋体" w:hAnsi="宋体"/>
                      <w:sz w:val="18"/>
                      <w:szCs w:val="18"/>
                      <w:lang w:val="en-US" w:eastAsia="zh-CN"/>
                    </w:rPr>
                    <w:t>查看并记录臭氧杀菌时间</w:t>
                  </w:r>
                </w:p>
              </w:tc>
              <w:tc>
                <w:tcPr>
                  <w:tcW w:w="1915"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灌装工序记录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1605" w:type="dxa"/>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rPr>
                    <w:t>微波杀菌消毒</w:t>
                  </w:r>
                </w:p>
                <w:p>
                  <w:pPr>
                    <w:spacing w:line="320" w:lineRule="exact"/>
                    <w:jc w:val="center"/>
                    <w:rPr>
                      <w:rFonts w:hint="eastAsia" w:ascii="宋体" w:hAnsi="宋体"/>
                      <w:sz w:val="18"/>
                      <w:szCs w:val="18"/>
                      <w:highlight w:val="none"/>
                    </w:rPr>
                  </w:pPr>
                  <w:r>
                    <w:rPr>
                      <w:rFonts w:hint="eastAsia" w:ascii="宋体" w:hAnsi="宋体"/>
                      <w:sz w:val="18"/>
                      <w:szCs w:val="18"/>
                      <w:highlight w:val="none"/>
                    </w:rPr>
                    <w:t>C</w:t>
                  </w:r>
                  <w:r>
                    <w:rPr>
                      <w:rFonts w:ascii="宋体" w:hAnsi="宋体"/>
                      <w:sz w:val="18"/>
                      <w:szCs w:val="18"/>
                      <w:highlight w:val="none"/>
                    </w:rPr>
                    <w:t>CP1</w:t>
                  </w:r>
                </w:p>
              </w:tc>
              <w:tc>
                <w:tcPr>
                  <w:tcW w:w="1202" w:type="dxa"/>
                  <w:noWrap w:val="0"/>
                  <w:vAlign w:val="center"/>
                </w:tcPr>
                <w:p>
                  <w:pPr>
                    <w:spacing w:line="320" w:lineRule="exact"/>
                    <w:jc w:val="center"/>
                    <w:rPr>
                      <w:rFonts w:hint="eastAsia" w:ascii="宋体" w:hAnsi="宋体"/>
                      <w:sz w:val="18"/>
                      <w:szCs w:val="18"/>
                      <w:highlight w:val="none"/>
                    </w:rPr>
                  </w:pPr>
                  <w:r>
                    <w:rPr>
                      <w:rFonts w:hint="eastAsia" w:ascii="宋体" w:hAnsi="宋体"/>
                      <w:sz w:val="18"/>
                      <w:szCs w:val="18"/>
                      <w:highlight w:val="none"/>
                    </w:rPr>
                    <w:t>致病菌超标</w:t>
                  </w:r>
                </w:p>
              </w:tc>
              <w:tc>
                <w:tcPr>
                  <w:tcW w:w="2403" w:type="dxa"/>
                  <w:noWrap w:val="0"/>
                  <w:vAlign w:val="center"/>
                </w:tcPr>
                <w:p>
                  <w:pPr>
                    <w:spacing w:line="320" w:lineRule="exact"/>
                    <w:rPr>
                      <w:rFonts w:hint="eastAsia" w:ascii="宋体" w:hAnsi="宋体"/>
                      <w:sz w:val="18"/>
                      <w:szCs w:val="18"/>
                      <w:highlight w:val="none"/>
                    </w:rPr>
                  </w:pPr>
                  <w:r>
                    <w:rPr>
                      <w:rFonts w:hint="eastAsia" w:ascii="宋体" w:hAnsi="宋体"/>
                      <w:sz w:val="18"/>
                      <w:szCs w:val="18"/>
                      <w:highlight w:val="none"/>
                    </w:rPr>
                    <w:t>杀菌温度85度</w:t>
                  </w:r>
                </w:p>
                <w:p>
                  <w:pPr>
                    <w:spacing w:line="320" w:lineRule="exact"/>
                    <w:rPr>
                      <w:rFonts w:hint="eastAsia" w:ascii="宋体" w:hAnsi="宋体"/>
                      <w:sz w:val="18"/>
                      <w:szCs w:val="18"/>
                      <w:highlight w:val="none"/>
                    </w:rPr>
                  </w:pPr>
                  <w:r>
                    <w:rPr>
                      <w:rFonts w:hint="eastAsia" w:ascii="宋体" w:hAnsi="宋体"/>
                      <w:sz w:val="18"/>
                      <w:szCs w:val="18"/>
                      <w:highlight w:val="none"/>
                    </w:rPr>
                    <w:t>杀菌时间3分钟</w:t>
                  </w:r>
                </w:p>
              </w:tc>
              <w:tc>
                <w:tcPr>
                  <w:tcW w:w="1572" w:type="dxa"/>
                  <w:noWrap w:val="0"/>
                  <w:vAlign w:val="center"/>
                </w:tcPr>
                <w:p>
                  <w:pPr>
                    <w:spacing w:line="320" w:lineRule="exact"/>
                    <w:rPr>
                      <w:rFonts w:hint="default" w:ascii="宋体" w:hAnsi="宋体" w:eastAsia="宋体"/>
                      <w:sz w:val="18"/>
                      <w:szCs w:val="18"/>
                      <w:highlight w:val="none"/>
                      <w:lang w:val="en-US" w:eastAsia="zh-CN"/>
                    </w:rPr>
                  </w:pPr>
                  <w:r>
                    <w:rPr>
                      <w:rFonts w:ascii="宋体" w:hAnsi="宋体"/>
                      <w:sz w:val="18"/>
                      <w:szCs w:val="18"/>
                      <w:highlight w:val="none"/>
                    </w:rPr>
                    <w:t>操作工</w:t>
                  </w:r>
                  <w:r>
                    <w:rPr>
                      <w:rFonts w:hint="eastAsia" w:ascii="宋体" w:hAnsi="宋体"/>
                      <w:sz w:val="18"/>
                      <w:szCs w:val="18"/>
                      <w:highlight w:val="none"/>
                      <w:lang w:val="en-US" w:eastAsia="zh-CN"/>
                    </w:rPr>
                    <w:t>/</w:t>
                  </w:r>
                  <w:r>
                    <w:rPr>
                      <w:rFonts w:ascii="宋体" w:hAnsi="宋体"/>
                      <w:sz w:val="18"/>
                      <w:szCs w:val="18"/>
                      <w:highlight w:val="none"/>
                    </w:rPr>
                    <w:t>主管每批</w:t>
                  </w:r>
                  <w:r>
                    <w:rPr>
                      <w:rFonts w:hint="eastAsia" w:ascii="宋体" w:hAnsi="宋体"/>
                      <w:sz w:val="18"/>
                      <w:szCs w:val="18"/>
                      <w:highlight w:val="none"/>
                    </w:rPr>
                    <w:t>查看</w:t>
                  </w:r>
                  <w:r>
                    <w:rPr>
                      <w:rFonts w:hint="eastAsia" w:ascii="宋体" w:hAnsi="宋体"/>
                      <w:sz w:val="18"/>
                      <w:szCs w:val="18"/>
                      <w:highlight w:val="none"/>
                      <w:lang w:val="en-US" w:eastAsia="zh-CN"/>
                    </w:rPr>
                    <w:t>并记录杀菌</w:t>
                  </w:r>
                  <w:r>
                    <w:rPr>
                      <w:rFonts w:hint="eastAsia" w:ascii="宋体" w:hAnsi="宋体"/>
                      <w:sz w:val="18"/>
                      <w:szCs w:val="18"/>
                      <w:highlight w:val="none"/>
                    </w:rPr>
                    <w:t>温度、时间</w:t>
                  </w:r>
                </w:p>
              </w:tc>
              <w:tc>
                <w:tcPr>
                  <w:tcW w:w="1915" w:type="dxa"/>
                  <w:noWrap w:val="0"/>
                  <w:vAlign w:val="center"/>
                </w:tcPr>
                <w:p>
                  <w:pPr>
                    <w:spacing w:line="32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杀菌记录</w:t>
                  </w:r>
                </w:p>
              </w:tc>
            </w:tr>
          </w:tbl>
          <w:p>
            <w:pPr>
              <w:spacing w:line="276" w:lineRule="auto"/>
              <w:rPr>
                <w:rFonts w:hint="eastAsia" w:asciiTheme="minorEastAsia" w:hAnsiTheme="minorEastAsia" w:eastAsiaTheme="minorEastAsia"/>
                <w:szCs w:val="21"/>
              </w:rPr>
            </w:pPr>
          </w:p>
          <w:p>
            <w:pPr>
              <w:rPr>
                <w:rFonts w:asciiTheme="minorEastAsia" w:hAnsiTheme="minorEastAsia" w:eastAsiaTheme="minorEastAsia"/>
                <w:szCs w:val="21"/>
              </w:rPr>
            </w:pP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1057" w:hRule="atLeast"/>
        </w:trPr>
        <w:tc>
          <w:tcPr>
            <w:tcW w:w="2174" w:type="dxa"/>
            <w:gridSpan w:val="2"/>
            <w:vMerge w:val="continue"/>
            <w:shd w:val="clear" w:color="auto" w:fill="auto"/>
          </w:tcPr>
          <w:p/>
        </w:tc>
        <w:tc>
          <w:tcPr>
            <w:tcW w:w="937" w:type="dxa"/>
            <w:gridSpan w:val="3"/>
            <w:shd w:val="clear" w:color="auto" w:fill="auto"/>
          </w:tcPr>
          <w:p>
            <w:r>
              <w:t>8.5.4.4 超出关键限值或行动限值采取的措施</w:t>
            </w:r>
          </w:p>
          <w:p/>
        </w:tc>
        <w:tc>
          <w:tcPr>
            <w:tcW w:w="744" w:type="dxa"/>
            <w:gridSpan w:val="2"/>
            <w:shd w:val="clear" w:color="auto" w:fill="auto"/>
          </w:tcPr>
          <w:p/>
        </w:tc>
        <w:tc>
          <w:tcPr>
            <w:tcW w:w="9523" w:type="dxa"/>
            <w:gridSpan w:val="2"/>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290"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3304" w:hRule="atLeast"/>
        </w:trPr>
        <w:tc>
          <w:tcPr>
            <w:tcW w:w="2174" w:type="dxa"/>
            <w:gridSpan w:val="2"/>
            <w:vMerge w:val="continue"/>
            <w:shd w:val="clear" w:color="auto" w:fill="auto"/>
          </w:tcPr>
          <w:p/>
        </w:tc>
        <w:tc>
          <w:tcPr>
            <w:tcW w:w="937" w:type="dxa"/>
            <w:gridSpan w:val="3"/>
            <w:shd w:val="clear" w:color="auto" w:fill="auto"/>
          </w:tcPr>
          <w:p>
            <w:r>
              <w:t>8.5.4.5实施危害控制计划</w:t>
            </w:r>
          </w:p>
          <w:p/>
        </w:tc>
        <w:tc>
          <w:tcPr>
            <w:tcW w:w="744" w:type="dxa"/>
            <w:gridSpan w:val="2"/>
            <w:shd w:val="clear" w:color="auto" w:fill="auto"/>
          </w:tcPr>
          <w:p>
            <w:r>
              <w:t>现场查看</w:t>
            </w:r>
          </w:p>
        </w:tc>
        <w:tc>
          <w:tcPr>
            <w:tcW w:w="9523" w:type="dxa"/>
            <w:gridSpan w:val="2"/>
            <w:shd w:val="clear" w:color="auto" w:fill="auto"/>
          </w:tcPr>
          <w:p>
            <w:r>
              <w:t>OPRP的实施情况：</w:t>
            </w:r>
            <w:r>
              <w:rPr>
                <w:b/>
                <w:bCs/>
              </w:rPr>
              <w:t xml:space="preserve"> </w:t>
            </w:r>
            <w:r>
              <w:rPr>
                <w:rFonts w:hint="eastAsia"/>
                <w:b/>
                <w:bCs/>
              </w:rPr>
              <w:t>（见</w:t>
            </w:r>
            <w:r>
              <w:rPr>
                <w:rFonts w:hint="eastAsia"/>
                <w:b/>
                <w:bCs/>
                <w:lang w:val="en-US" w:eastAsia="zh-CN"/>
              </w:rPr>
              <w:t>质检部</w:t>
            </w:r>
            <w:r>
              <w:rPr>
                <w:rFonts w:hint="eastAsia"/>
                <w:b/>
                <w:bCs/>
              </w:rPr>
              <w:t>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2"/>
            </w:pPr>
          </w:p>
          <w:p>
            <w:r>
              <w:t>HACCP的实施情况：</w:t>
            </w:r>
            <w:r>
              <w:rPr>
                <w:rFonts w:hint="eastAsia"/>
              </w:rPr>
              <w:t>（见</w:t>
            </w:r>
            <w:r>
              <w:rPr>
                <w:rFonts w:hint="eastAsia"/>
                <w:lang w:val="en-US" w:eastAsia="zh-CN"/>
              </w:rPr>
              <w:t>生产部</w:t>
            </w:r>
            <w:r>
              <w:rPr>
                <w:rFonts w:hint="eastAsia"/>
              </w:rPr>
              <w:t>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290"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2174" w:type="dxa"/>
            <w:gridSpan w:val="2"/>
            <w:vMerge w:val="restart"/>
            <w:shd w:val="clear" w:color="auto" w:fill="auto"/>
          </w:tcPr>
          <w:p>
            <w:r>
              <w:t>PRP和危害控制计划文件的更新</w:t>
            </w:r>
          </w:p>
        </w:tc>
        <w:tc>
          <w:tcPr>
            <w:tcW w:w="937" w:type="dxa"/>
            <w:gridSpan w:val="3"/>
            <w:vMerge w:val="restart"/>
            <w:shd w:val="clear" w:color="auto" w:fill="auto"/>
          </w:tcPr>
          <w:p>
            <w:r>
              <w:t>F8.6</w:t>
            </w:r>
          </w:p>
          <w:p/>
        </w:tc>
        <w:tc>
          <w:tcPr>
            <w:tcW w:w="744" w:type="dxa"/>
            <w:gridSpan w:val="2"/>
            <w:shd w:val="clear" w:color="auto" w:fill="auto"/>
          </w:tcPr>
          <w:p>
            <w:r>
              <w:t>文件名称</w:t>
            </w:r>
          </w:p>
        </w:tc>
        <w:tc>
          <w:tcPr>
            <w:tcW w:w="9523" w:type="dxa"/>
            <w:gridSpan w:val="2"/>
            <w:shd w:val="clear" w:color="auto" w:fill="auto"/>
          </w:tcPr>
          <w:p>
            <w:r>
              <w:t>如：</w:t>
            </w:r>
            <w:r>
              <w:rPr/>
              <w:sym w:font="Wingdings" w:char="00FE"/>
            </w:r>
            <w:r>
              <w:t>《</w:t>
            </w:r>
            <w:r>
              <w:rPr>
                <w:rFonts w:hint="eastAsia"/>
                <w:sz w:val="21"/>
                <w:szCs w:val="21"/>
              </w:rPr>
              <w:t>食品安全管理体系确认验证程序</w:t>
            </w:r>
            <w:r>
              <w:rPr>
                <w:sz w:val="18"/>
                <w:szCs w:val="18"/>
              </w:rPr>
              <w:t>》</w:t>
            </w:r>
            <w:r>
              <w:rPr>
                <w:rFonts w:hint="eastAsia"/>
              </w:rPr>
              <w:t>，</w:t>
            </w:r>
            <w:r>
              <w:rPr/>
              <w:sym w:font="Wingdings" w:char="00FE"/>
            </w:r>
            <w:r>
              <w:rPr>
                <w:rFonts w:hint="eastAsia"/>
              </w:rPr>
              <w:t>手册8</w:t>
            </w:r>
            <w:r>
              <w:t>.6</w:t>
            </w:r>
            <w:r>
              <w:rPr>
                <w:rFonts w:hint="eastAsia"/>
              </w:rPr>
              <w:t>条款</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3936" w:hRule="atLeast"/>
        </w:trPr>
        <w:tc>
          <w:tcPr>
            <w:tcW w:w="2174" w:type="dxa"/>
            <w:gridSpan w:val="2"/>
            <w:vMerge w:val="continue"/>
            <w:shd w:val="clear" w:color="auto" w:fill="auto"/>
          </w:tcPr>
          <w:p/>
        </w:tc>
        <w:tc>
          <w:tcPr>
            <w:tcW w:w="937" w:type="dxa"/>
            <w:gridSpan w:val="3"/>
            <w:vMerge w:val="continue"/>
            <w:shd w:val="clear" w:color="auto" w:fill="auto"/>
          </w:tcPr>
          <w:p/>
        </w:tc>
        <w:tc>
          <w:tcPr>
            <w:tcW w:w="744" w:type="dxa"/>
            <w:gridSpan w:val="2"/>
            <w:shd w:val="clear" w:color="auto" w:fill="auto"/>
          </w:tcPr>
          <w:p>
            <w:r>
              <w:t>运行证据</w:t>
            </w:r>
          </w:p>
        </w:tc>
        <w:tc>
          <w:tcPr>
            <w:tcW w:w="9523" w:type="dxa"/>
            <w:gridSpan w:val="2"/>
            <w:shd w:val="clear" w:color="auto" w:fill="auto"/>
          </w:tcPr>
          <w:p>
            <w:r>
              <w:t>制定OPRP计划和（或） HACCP计划后， 组织对如下信息进行更新：</w:t>
            </w:r>
          </w:p>
          <w:p>
            <w:r>
              <w:rPr/>
              <w:sym w:font="Wingdings" w:char="00A8"/>
            </w:r>
            <w:r>
              <w:t>体系建立以来未发生</w:t>
            </w:r>
          </w:p>
          <w:p>
            <w:pPr>
              <w:rPr>
                <w:color w:val="0000FF"/>
              </w:rPr>
            </w:pPr>
            <w:r>
              <w:rPr>
                <w:color w:val="0000FF"/>
              </w:rPr>
              <w:sym w:font="Wingdings" w:char="00FE"/>
            </w:r>
            <w:r>
              <w:rPr>
                <w:rFonts w:hint="eastAsia"/>
                <w:color w:val="0000FF"/>
                <w:lang w:val="en-US" w:eastAsia="zh-CN"/>
              </w:rPr>
              <w:t>审核周期内</w:t>
            </w:r>
            <w:r>
              <w:rPr>
                <w:color w:val="0000FF"/>
              </w:rPr>
              <w:t>未发生</w:t>
            </w:r>
          </w:p>
          <w:p>
            <w:pPr>
              <w:pStyle w:val="2"/>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HACCP计划</w:t>
                  </w:r>
                </w:p>
              </w:tc>
              <w:tc>
                <w:tcPr>
                  <w:tcW w:w="2300" w:type="dxa"/>
                </w:tcPr>
                <w:p>
                  <w:r>
                    <w:t>——</w:t>
                  </w:r>
                </w:p>
              </w:tc>
              <w:tc>
                <w:tcPr>
                  <w:tcW w:w="4818" w:type="dxa"/>
                </w:tcPr>
                <w:p/>
              </w:tc>
            </w:tr>
          </w:tbl>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546" w:hRule="atLeast"/>
        </w:trPr>
        <w:tc>
          <w:tcPr>
            <w:tcW w:w="2174" w:type="dxa"/>
            <w:gridSpan w:val="2"/>
            <w:vMerge w:val="restart"/>
            <w:shd w:val="clear" w:color="auto" w:fill="auto"/>
          </w:tcPr>
          <w:p>
            <w:r>
              <w:t>与 PRP、危害控制计划有关的验证</w:t>
            </w:r>
          </w:p>
          <w:p/>
        </w:tc>
        <w:tc>
          <w:tcPr>
            <w:tcW w:w="937" w:type="dxa"/>
            <w:gridSpan w:val="3"/>
            <w:vMerge w:val="restart"/>
            <w:shd w:val="clear" w:color="auto" w:fill="auto"/>
          </w:tcPr>
          <w:p>
            <w:r>
              <w:t>F8.8.1</w:t>
            </w:r>
          </w:p>
          <w:p/>
        </w:tc>
        <w:tc>
          <w:tcPr>
            <w:tcW w:w="744" w:type="dxa"/>
            <w:gridSpan w:val="2"/>
            <w:shd w:val="clear" w:color="auto" w:fill="auto"/>
          </w:tcPr>
          <w:p>
            <w:r>
              <w:t>文件名称</w:t>
            </w:r>
          </w:p>
        </w:tc>
        <w:tc>
          <w:tcPr>
            <w:tcW w:w="9523" w:type="dxa"/>
            <w:gridSpan w:val="2"/>
            <w:shd w:val="clear" w:color="auto" w:fill="auto"/>
          </w:tcPr>
          <w:p>
            <w:pPr>
              <w:rPr>
                <w:rFonts w:hint="eastAsia" w:eastAsia="宋体"/>
                <w:lang w:eastAsia="zh-CN"/>
              </w:rPr>
            </w:pPr>
            <w:r>
              <w:t>如：</w:t>
            </w:r>
            <w:r>
              <w:rPr>
                <w:rFonts w:hint="eastAsia" w:ascii="宋体" w:hAnsi="宋体"/>
              </w:rPr>
              <w:t>□</w:t>
            </w:r>
            <w:r>
              <w:t>《确认和验证控制程序》</w:t>
            </w:r>
            <w:r>
              <w:rPr>
                <w:rFonts w:hint="eastAsia"/>
                <w:lang w:eastAsia="zh-CN"/>
              </w:rPr>
              <w:t>、</w:t>
            </w:r>
            <w:r>
              <w:t xml:space="preserve"> </w:t>
            </w:r>
            <w:r>
              <w:rPr/>
              <w:sym w:font="Wingdings" w:char="00A8"/>
            </w:r>
            <w:r>
              <w:rPr>
                <w:rFonts w:hint="eastAsia"/>
              </w:rPr>
              <w:t>《验证程序》</w:t>
            </w:r>
            <w:r>
              <w:rPr>
                <w:rFonts w:hint="eastAsia"/>
                <w:lang w:eastAsia="zh-CN"/>
              </w:rPr>
              <w:t>、</w:t>
            </w:r>
            <w:r>
              <w:t xml:space="preserve"> </w:t>
            </w:r>
            <w:r>
              <w:rPr/>
              <w:sym w:font="Wingdings" w:char="00FE"/>
            </w:r>
            <w:r>
              <w:t>《</w:t>
            </w:r>
            <w:r>
              <w:rPr>
                <w:rFonts w:hint="eastAsia"/>
                <w:sz w:val="21"/>
                <w:szCs w:val="21"/>
              </w:rPr>
              <w:t>食品安全管理体系确认验证程序</w:t>
            </w:r>
            <w:r>
              <w:rPr>
                <w:sz w:val="18"/>
                <w:szCs w:val="18"/>
              </w:rPr>
              <w:t>》</w:t>
            </w:r>
          </w:p>
        </w:tc>
        <w:tc>
          <w:tcPr>
            <w:tcW w:w="1290" w:type="dxa"/>
            <w:vMerge w:val="restart"/>
            <w:shd w:val="clear" w:color="auto" w:fill="auto"/>
          </w:tcPr>
          <w:p>
            <w:r>
              <w:rPr/>
              <w:sym w:font="Wingdings" w:char="00FE"/>
            </w:r>
            <w:r>
              <w:t>符合</w:t>
            </w:r>
          </w:p>
          <w:p>
            <w:r>
              <w:rPr/>
              <w:sym w:font="Wingdings" w:char="00A8"/>
            </w:r>
            <w:r>
              <w:t>不符合</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rPr>
                <w:color w:val="auto"/>
              </w:rPr>
            </w:pPr>
            <w:r>
              <w:rPr>
                <w:color w:val="auto"/>
              </w:rPr>
              <w:sym w:font="Wingdings" w:char="00FE"/>
            </w:r>
            <w:r>
              <w:rPr>
                <w:color w:val="auto"/>
              </w:rPr>
              <w:t>符合</w:t>
            </w:r>
          </w:p>
          <w:p>
            <w:pPr>
              <w:pStyle w:val="2"/>
              <w:ind w:left="0" w:leftChars="0" w:firstLine="0" w:firstLineChars="0"/>
              <w:rPr>
                <w:rFonts w:ascii="Times New Roman" w:hAnsi="Times New Roman"/>
                <w:color w:val="auto"/>
              </w:rPr>
            </w:pPr>
            <w:r>
              <w:rPr>
                <w:color w:val="auto"/>
              </w:rPr>
              <w:sym w:font="Wingdings" w:char="00A8"/>
            </w:r>
            <w:r>
              <w:rPr>
                <w:color w:val="auto"/>
              </w:rPr>
              <w:t>不符合</w:t>
            </w:r>
          </w:p>
          <w:p>
            <w:pPr>
              <w:pStyle w:val="2"/>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93" w:hRule="atLeast"/>
        </w:trPr>
        <w:tc>
          <w:tcPr>
            <w:tcW w:w="2174" w:type="dxa"/>
            <w:gridSpan w:val="2"/>
            <w:vMerge w:val="continue"/>
            <w:shd w:val="clear" w:color="auto" w:fill="auto"/>
          </w:tcPr>
          <w:p/>
        </w:tc>
        <w:tc>
          <w:tcPr>
            <w:tcW w:w="937" w:type="dxa"/>
            <w:gridSpan w:val="3"/>
            <w:vMerge w:val="continue"/>
            <w:shd w:val="clear" w:color="auto" w:fill="auto"/>
          </w:tcPr>
          <w:p/>
        </w:tc>
        <w:tc>
          <w:tcPr>
            <w:tcW w:w="744" w:type="dxa"/>
            <w:gridSpan w:val="2"/>
            <w:shd w:val="clear" w:color="auto" w:fill="auto"/>
          </w:tcPr>
          <w:p>
            <w:r>
              <w:t>运行证据</w:t>
            </w:r>
          </w:p>
        </w:tc>
        <w:tc>
          <w:tcPr>
            <w:tcW w:w="9523" w:type="dxa"/>
            <w:gridSpan w:val="2"/>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847"/>
              <w:gridCol w:w="1815"/>
              <w:gridCol w:w="157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847" w:type="dxa"/>
                </w:tcPr>
                <w:p>
                  <w:pPr>
                    <w:rPr>
                      <w:szCs w:val="21"/>
                    </w:rPr>
                  </w:pPr>
                  <w:r>
                    <w:rPr>
                      <w:szCs w:val="21"/>
                    </w:rPr>
                    <w:t>方法</w:t>
                  </w:r>
                </w:p>
              </w:tc>
              <w:tc>
                <w:tcPr>
                  <w:tcW w:w="1815" w:type="dxa"/>
                </w:tcPr>
                <w:p>
                  <w:pPr>
                    <w:rPr>
                      <w:szCs w:val="21"/>
                    </w:rPr>
                  </w:pPr>
                  <w:r>
                    <w:rPr>
                      <w:szCs w:val="21"/>
                    </w:rPr>
                    <w:t>频次</w:t>
                  </w:r>
                </w:p>
              </w:tc>
              <w:tc>
                <w:tcPr>
                  <w:tcW w:w="1577"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847" w:type="dxa"/>
                </w:tcPr>
                <w:p>
                  <w:pPr>
                    <w:rPr>
                      <w:szCs w:val="21"/>
                    </w:rPr>
                  </w:pPr>
                  <w:r>
                    <w:rPr>
                      <w:szCs w:val="21"/>
                    </w:rPr>
                    <w:t>自行检查</w:t>
                  </w:r>
                </w:p>
              </w:tc>
              <w:tc>
                <w:tcPr>
                  <w:tcW w:w="1815" w:type="dxa"/>
                </w:tcPr>
                <w:p>
                  <w:pPr>
                    <w:rPr>
                      <w:szCs w:val="21"/>
                    </w:rPr>
                  </w:pPr>
                  <w:r>
                    <w:rPr>
                      <w:rFonts w:hint="eastAsia"/>
                      <w:szCs w:val="21"/>
                    </w:rPr>
                    <w:t>首次运行、变更后、定期确定</w:t>
                  </w:r>
                </w:p>
              </w:tc>
              <w:tc>
                <w:tcPr>
                  <w:tcW w:w="1577"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847" w:type="dxa"/>
                </w:tcPr>
                <w:p>
                  <w:pPr>
                    <w:rPr>
                      <w:szCs w:val="21"/>
                    </w:rPr>
                  </w:pPr>
                  <w:r>
                    <w:rPr>
                      <w:szCs w:val="21"/>
                    </w:rPr>
                    <w:t>自行检查</w:t>
                  </w:r>
                </w:p>
              </w:tc>
              <w:tc>
                <w:tcPr>
                  <w:tcW w:w="1815" w:type="dxa"/>
                </w:tcPr>
                <w:p>
                  <w:pPr>
                    <w:rPr>
                      <w:rFonts w:hint="eastAsia" w:eastAsia="宋体"/>
                      <w:szCs w:val="21"/>
                      <w:lang w:eastAsia="zh-CN"/>
                    </w:rPr>
                  </w:pPr>
                  <w:r>
                    <w:rPr>
                      <w:szCs w:val="21"/>
                    </w:rPr>
                    <w:t>每年一次</w:t>
                  </w:r>
                  <w:r>
                    <w:rPr>
                      <w:rFonts w:hint="eastAsia"/>
                      <w:szCs w:val="21"/>
                    </w:rPr>
                    <w:t>、变更后</w:t>
                  </w:r>
                  <w:r>
                    <w:rPr>
                      <w:rFonts w:hint="eastAsia"/>
                      <w:szCs w:val="21"/>
                      <w:lang w:eastAsia="zh-CN"/>
                    </w:rPr>
                    <w:t>、</w:t>
                  </w:r>
                  <w:r>
                    <w:rPr>
                      <w:rFonts w:hint="eastAsia"/>
                      <w:szCs w:val="21"/>
                    </w:rPr>
                    <w:t>定期确定</w:t>
                  </w:r>
                </w:p>
              </w:tc>
              <w:tc>
                <w:tcPr>
                  <w:tcW w:w="1577"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847" w:type="dxa"/>
                </w:tcPr>
                <w:p>
                  <w:pPr>
                    <w:rPr>
                      <w:szCs w:val="21"/>
                    </w:rPr>
                  </w:pPr>
                  <w:r>
                    <w:rPr>
                      <w:bCs/>
                    </w:rPr>
                    <w:t>向供方索取检测报告</w:t>
                  </w:r>
                </w:p>
              </w:tc>
              <w:tc>
                <w:tcPr>
                  <w:tcW w:w="1815" w:type="dxa"/>
                </w:tcPr>
                <w:p>
                  <w:r>
                    <w:t>每年一次</w:t>
                  </w:r>
                </w:p>
                <w:p>
                  <w:pPr>
                    <w:pStyle w:val="2"/>
                    <w:ind w:left="0" w:firstLine="0" w:firstLineChars="0"/>
                  </w:pPr>
                </w:p>
              </w:tc>
              <w:tc>
                <w:tcPr>
                  <w:tcW w:w="1577"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847" w:type="dxa"/>
                </w:tcPr>
                <w:p>
                  <w:pPr>
                    <w:rPr>
                      <w:szCs w:val="21"/>
                    </w:rPr>
                  </w:pPr>
                  <w:r>
                    <w:rPr>
                      <w:szCs w:val="21"/>
                    </w:rPr>
                    <w:t>检查</w:t>
                  </w:r>
                </w:p>
              </w:tc>
              <w:tc>
                <w:tcPr>
                  <w:tcW w:w="1815" w:type="dxa"/>
                </w:tcPr>
                <w:p>
                  <w:pPr>
                    <w:rPr>
                      <w:szCs w:val="21"/>
                    </w:rPr>
                  </w:pPr>
                  <w:r>
                    <w:rPr>
                      <w:rFonts w:hint="eastAsia"/>
                      <w:szCs w:val="21"/>
                    </w:rPr>
                    <w:t>首次运行、变更后、定期确定</w:t>
                  </w:r>
                </w:p>
              </w:tc>
              <w:tc>
                <w:tcPr>
                  <w:tcW w:w="1577"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847" w:type="dxa"/>
                </w:tcPr>
                <w:p>
                  <w:pPr>
                    <w:rPr>
                      <w:szCs w:val="21"/>
                    </w:rPr>
                  </w:pPr>
                  <w:r>
                    <w:rPr>
                      <w:szCs w:val="21"/>
                    </w:rPr>
                    <w:t>——</w:t>
                  </w:r>
                </w:p>
              </w:tc>
              <w:tc>
                <w:tcPr>
                  <w:tcW w:w="1815" w:type="dxa"/>
                </w:tcPr>
                <w:p>
                  <w:pPr>
                    <w:rPr>
                      <w:szCs w:val="21"/>
                    </w:rPr>
                  </w:pPr>
                  <w:r>
                    <w:rPr>
                      <w:szCs w:val="21"/>
                    </w:rPr>
                    <w:t>——</w:t>
                  </w:r>
                </w:p>
              </w:tc>
              <w:tc>
                <w:tcPr>
                  <w:tcW w:w="1577"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highlight w:val="none"/>
                <w:u w:val="single"/>
                <w14:textFill>
                  <w14:solidFill>
                    <w14:schemeClr w14:val="tx1"/>
                  </w14:solidFill>
                </w14:textFill>
              </w:rPr>
            </w:pPr>
            <w:r>
              <w:rPr>
                <w:highlight w:val="none"/>
                <w:u w:val="single"/>
              </w:rPr>
              <w:t>见《验证报告》和《检验报告》</w:t>
            </w:r>
          </w:p>
          <w:p>
            <w:pPr>
              <w:rPr>
                <w:highlight w:val="none"/>
                <w:u w:val="single"/>
              </w:rPr>
            </w:pPr>
            <w:r>
              <w:rPr>
                <w:color w:val="000000" w:themeColor="text1"/>
                <w:highlight w:val="none"/>
                <w14:textFill>
                  <w14:solidFill>
                    <w14:schemeClr w14:val="tx1"/>
                  </w14:solidFill>
                </w14:textFill>
              </w:rPr>
              <w:t>抽取作业环境（人员、空气、工器具、接触面等）检验相关记录名称：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见质检部审核记录</w:t>
            </w:r>
            <w:r>
              <w:rPr>
                <w:color w:val="000000" w:themeColor="text1"/>
                <w:highlight w:val="none"/>
                <w:u w:val="single"/>
                <w14:textFill>
                  <w14:solidFill>
                    <w14:schemeClr w14:val="tx1"/>
                  </w14:solidFill>
                </w14:textFill>
              </w:rPr>
              <w:t xml:space="preserve">   </w:t>
            </w:r>
            <w:r>
              <w:rPr>
                <w:highlight w:val="none"/>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日期</w:t>
                  </w:r>
                </w:p>
              </w:tc>
              <w:tc>
                <w:tcPr>
                  <w:tcW w:w="1620" w:type="dxa"/>
                </w:tcPr>
                <w:p>
                  <w:pPr>
                    <w:rPr>
                      <w:highlight w:val="none"/>
                    </w:rPr>
                  </w:pPr>
                  <w:r>
                    <w:rPr>
                      <w:highlight w:val="none"/>
                    </w:rPr>
                    <w:t>样品名称</w:t>
                  </w:r>
                </w:p>
              </w:tc>
              <w:tc>
                <w:tcPr>
                  <w:tcW w:w="1364" w:type="dxa"/>
                </w:tcPr>
                <w:p>
                  <w:pPr>
                    <w:rPr>
                      <w:highlight w:val="none"/>
                    </w:rPr>
                  </w:pPr>
                  <w:r>
                    <w:rPr>
                      <w:highlight w:val="none"/>
                    </w:rPr>
                    <w:t>抽样比例</w:t>
                  </w:r>
                </w:p>
              </w:tc>
              <w:tc>
                <w:tcPr>
                  <w:tcW w:w="1680" w:type="dxa"/>
                </w:tcPr>
                <w:p>
                  <w:pPr>
                    <w:rPr>
                      <w:highlight w:val="none"/>
                    </w:rPr>
                  </w:pPr>
                  <w:r>
                    <w:rPr>
                      <w:b/>
                      <w:bCs/>
                      <w:highlight w:val="none"/>
                    </w:rPr>
                    <w:t>关键特性</w:t>
                  </w:r>
                  <w:r>
                    <w:rPr>
                      <w:highlight w:val="none"/>
                    </w:rPr>
                    <w:t>要求</w:t>
                  </w:r>
                </w:p>
              </w:tc>
              <w:tc>
                <w:tcPr>
                  <w:tcW w:w="1566" w:type="dxa"/>
                </w:tcPr>
                <w:p>
                  <w:pPr>
                    <w:rPr>
                      <w:highlight w:val="none"/>
                    </w:rPr>
                  </w:pPr>
                  <w:r>
                    <w:rPr>
                      <w:highlight w:val="none"/>
                    </w:rPr>
                    <w:t>实测结果</w:t>
                  </w:r>
                </w:p>
              </w:tc>
              <w:tc>
                <w:tcPr>
                  <w:tcW w:w="2046" w:type="dxa"/>
                </w:tcPr>
                <w:p>
                  <w:pPr>
                    <w:rPr>
                      <w:highlight w:val="none"/>
                    </w:rPr>
                  </w:pPr>
                  <w:r>
                    <w:rPr>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w:t>
                  </w: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szCs w:val="21"/>
                      <w:highlight w:val="none"/>
                    </w:rPr>
                    <w:t>□</w:t>
                  </w:r>
                  <w:r>
                    <w:rPr>
                      <w:highlight w:val="none"/>
                    </w:rPr>
                    <w:t xml:space="preserve">合格 </w:t>
                  </w: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w:t>
                  </w: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p>
              </w:tc>
            </w:tr>
          </w:tbl>
          <w:p/>
          <w:p>
            <w:pPr>
              <w:rPr>
                <w:highlight w:val="none"/>
                <w:u w:val="single"/>
              </w:rPr>
            </w:pPr>
            <w:r>
              <w:rPr>
                <w:highlight w:val="none"/>
              </w:rPr>
              <w:t>抽取生产用水、蒸汽、冰</w:t>
            </w:r>
            <w:r>
              <w:rPr>
                <w:b/>
                <w:bCs/>
                <w:highlight w:val="none"/>
              </w:rPr>
              <w:t>检验</w:t>
            </w:r>
            <w:r>
              <w:rPr>
                <w:highlight w:val="none"/>
              </w:rPr>
              <w:t>相关记录名称：</w:t>
            </w:r>
            <w:r>
              <w:rPr>
                <w:highlight w:val="none"/>
                <w:u w:val="single"/>
              </w:rPr>
              <w:t xml:space="preserve">《  </w:t>
            </w:r>
            <w:r>
              <w:rPr>
                <w:rFonts w:hint="eastAsia"/>
                <w:highlight w:val="none"/>
                <w:u w:val="single"/>
                <w:lang w:eastAsia="zh-CN"/>
              </w:rPr>
              <w:t>——</w:t>
            </w:r>
            <w:r>
              <w:rPr>
                <w:highlight w:val="none"/>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highlight w:val="none"/>
                    </w:rPr>
                  </w:pPr>
                  <w:r>
                    <w:rPr>
                      <w:sz w:val="18"/>
                      <w:szCs w:val="18"/>
                      <w:highlight w:val="none"/>
                    </w:rPr>
                    <w:t>日期</w:t>
                  </w:r>
                </w:p>
              </w:tc>
              <w:tc>
                <w:tcPr>
                  <w:tcW w:w="1714" w:type="dxa"/>
                </w:tcPr>
                <w:p>
                  <w:pPr>
                    <w:rPr>
                      <w:sz w:val="18"/>
                      <w:szCs w:val="18"/>
                      <w:highlight w:val="none"/>
                    </w:rPr>
                  </w:pPr>
                  <w:r>
                    <w:rPr>
                      <w:sz w:val="18"/>
                      <w:szCs w:val="18"/>
                      <w:highlight w:val="none"/>
                    </w:rPr>
                    <w:t>成品名称/批次</w:t>
                  </w:r>
                </w:p>
              </w:tc>
              <w:tc>
                <w:tcPr>
                  <w:tcW w:w="1202" w:type="dxa"/>
                </w:tcPr>
                <w:p>
                  <w:pPr>
                    <w:rPr>
                      <w:sz w:val="18"/>
                      <w:szCs w:val="18"/>
                      <w:highlight w:val="none"/>
                    </w:rPr>
                  </w:pPr>
                  <w:r>
                    <w:rPr>
                      <w:sz w:val="18"/>
                      <w:szCs w:val="18"/>
                      <w:highlight w:val="none"/>
                    </w:rPr>
                    <w:t>抽样比例</w:t>
                  </w:r>
                </w:p>
              </w:tc>
              <w:tc>
                <w:tcPr>
                  <w:tcW w:w="1952" w:type="dxa"/>
                </w:tcPr>
                <w:p>
                  <w:pPr>
                    <w:rPr>
                      <w:sz w:val="18"/>
                      <w:szCs w:val="18"/>
                      <w:highlight w:val="none"/>
                    </w:rPr>
                  </w:pPr>
                  <w:r>
                    <w:rPr>
                      <w:b/>
                      <w:bCs/>
                      <w:sz w:val="18"/>
                      <w:szCs w:val="18"/>
                      <w:highlight w:val="none"/>
                    </w:rPr>
                    <w:t>关键特性</w:t>
                  </w:r>
                  <w:r>
                    <w:rPr>
                      <w:sz w:val="18"/>
                      <w:szCs w:val="18"/>
                      <w:highlight w:val="none"/>
                    </w:rPr>
                    <w:t>要求</w:t>
                  </w:r>
                </w:p>
              </w:tc>
              <w:tc>
                <w:tcPr>
                  <w:tcW w:w="2138" w:type="dxa"/>
                </w:tcPr>
                <w:p>
                  <w:pPr>
                    <w:rPr>
                      <w:sz w:val="18"/>
                      <w:szCs w:val="18"/>
                      <w:highlight w:val="none"/>
                    </w:rPr>
                  </w:pPr>
                  <w:r>
                    <w:rPr>
                      <w:sz w:val="18"/>
                      <w:szCs w:val="18"/>
                      <w:highlight w:val="none"/>
                    </w:rPr>
                    <w:t>实测结果</w:t>
                  </w:r>
                </w:p>
              </w:tc>
              <w:tc>
                <w:tcPr>
                  <w:tcW w:w="961" w:type="dxa"/>
                </w:tcPr>
                <w:p>
                  <w:pPr>
                    <w:rPr>
                      <w:sz w:val="18"/>
                      <w:szCs w:val="18"/>
                      <w:highlight w:val="none"/>
                    </w:rPr>
                  </w:pPr>
                  <w:r>
                    <w:rPr>
                      <w:sz w:val="18"/>
                      <w:szCs w:val="18"/>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highlight w:val="none"/>
                    </w:rPr>
                  </w:pPr>
                  <w:r>
                    <w:rPr>
                      <w:rFonts w:hint="eastAsia"/>
                      <w:sz w:val="18"/>
                      <w:szCs w:val="18"/>
                      <w:highlight w:val="none"/>
                    </w:rPr>
                    <w:t>——</w:t>
                  </w:r>
                </w:p>
              </w:tc>
              <w:tc>
                <w:tcPr>
                  <w:tcW w:w="1714" w:type="dxa"/>
                </w:tcPr>
                <w:p>
                  <w:pPr>
                    <w:rPr>
                      <w:sz w:val="18"/>
                      <w:szCs w:val="18"/>
                      <w:highlight w:val="none"/>
                    </w:rPr>
                  </w:pPr>
                </w:p>
              </w:tc>
              <w:tc>
                <w:tcPr>
                  <w:tcW w:w="1202" w:type="dxa"/>
                </w:tcPr>
                <w:p>
                  <w:pPr>
                    <w:rPr>
                      <w:sz w:val="18"/>
                      <w:szCs w:val="18"/>
                      <w:highlight w:val="none"/>
                    </w:rPr>
                  </w:pPr>
                </w:p>
              </w:tc>
              <w:tc>
                <w:tcPr>
                  <w:tcW w:w="1952" w:type="dxa"/>
                </w:tcPr>
                <w:p>
                  <w:pPr>
                    <w:rPr>
                      <w:sz w:val="18"/>
                      <w:szCs w:val="18"/>
                      <w:highlight w:val="none"/>
                    </w:rPr>
                  </w:pPr>
                </w:p>
              </w:tc>
              <w:tc>
                <w:tcPr>
                  <w:tcW w:w="2138" w:type="dxa"/>
                </w:tcPr>
                <w:p>
                  <w:pPr>
                    <w:rPr>
                      <w:sz w:val="18"/>
                      <w:szCs w:val="18"/>
                      <w:highlight w:val="none"/>
                    </w:rPr>
                  </w:pPr>
                </w:p>
              </w:tc>
              <w:tc>
                <w:tcPr>
                  <w:tcW w:w="961" w:type="dxa"/>
                </w:tcPr>
                <w:p>
                  <w:pPr>
                    <w:rPr>
                      <w:sz w:val="18"/>
                      <w:szCs w:val="18"/>
                      <w:highlight w:val="none"/>
                    </w:rPr>
                  </w:pPr>
                  <w:r>
                    <w:rPr>
                      <w:highlight w:val="none"/>
                    </w:rPr>
                    <w:sym w:font="Wingdings" w:char="00A8"/>
                  </w:r>
                  <w:r>
                    <w:rPr>
                      <w:sz w:val="18"/>
                      <w:szCs w:val="18"/>
                      <w:highlight w:val="none"/>
                    </w:rPr>
                    <w:t xml:space="preserve">合格 </w:t>
                  </w:r>
                </w:p>
                <w:p>
                  <w:pPr>
                    <w:rPr>
                      <w:sz w:val="18"/>
                      <w:szCs w:val="18"/>
                      <w:highlight w:val="none"/>
                    </w:rPr>
                  </w:pPr>
                  <w:r>
                    <w:rPr>
                      <w:sz w:val="18"/>
                      <w:szCs w:val="18"/>
                      <w:highlight w:val="none"/>
                    </w:rPr>
                    <w:t>□不合格</w:t>
                  </w:r>
                </w:p>
              </w:tc>
            </w:tr>
          </w:tbl>
          <w:p>
            <w:pPr>
              <w:rPr>
                <w:rFonts w:hint="default"/>
                <w:highlight w:val="none"/>
                <w:lang w:val="en-US" w:eastAsia="zh-CN"/>
              </w:rPr>
            </w:pPr>
            <w:r>
              <w:rPr>
                <w:rFonts w:hint="eastAsia"/>
                <w:highlight w:val="none"/>
                <w:lang w:val="en-US" w:eastAsia="zh-CN"/>
              </w:rPr>
              <w:t>提供有生产加工用水外检报告，报告编号：NO .RD2208Q60552。报告日期：2022-08-29。检测项目符合GB5749标准的要求。检测单位：山东润达检测技术有限公司。</w:t>
            </w:r>
          </w:p>
          <w:p>
            <w:pPr>
              <w:pStyle w:val="2"/>
              <w:rPr>
                <w:rFonts w:hint="default"/>
                <w:highlight w:val="none"/>
                <w:lang w:val="en-US" w:eastAsia="zh-CN"/>
              </w:rPr>
            </w:pPr>
          </w:p>
          <w:p>
            <w:pPr>
              <w:rPr>
                <w:highlight w:val="none"/>
              </w:rPr>
            </w:pPr>
            <w:r>
              <w:rPr>
                <w:szCs w:val="21"/>
                <w:highlight w:val="none"/>
              </w:rPr>
              <w:t>当体系验证是基于终产品的测试，且测试的样品不符合食品安全危害的可接受水平时，受影响批次的产品应按照潜在不安全产品处置。</w:t>
            </w:r>
            <w:r>
              <w:rPr>
                <w:b/>
                <w:bCs/>
                <w:szCs w:val="21"/>
                <w:highlight w:val="none"/>
                <w:u w:val="single"/>
              </w:rPr>
              <w:t>未发现不安全产品</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2174" w:type="dxa"/>
            <w:gridSpan w:val="2"/>
            <w:vMerge w:val="restart"/>
            <w:shd w:val="clear" w:color="auto" w:fill="auto"/>
          </w:tcPr>
          <w:p>
            <w:r>
              <w:t>验证活动结果的分析</w:t>
            </w:r>
          </w:p>
        </w:tc>
        <w:tc>
          <w:tcPr>
            <w:tcW w:w="937" w:type="dxa"/>
            <w:gridSpan w:val="3"/>
            <w:vMerge w:val="restart"/>
            <w:shd w:val="clear" w:color="auto" w:fill="auto"/>
          </w:tcPr>
          <w:p>
            <w:r>
              <w:t>F8.8.2</w:t>
            </w:r>
          </w:p>
          <w:p/>
        </w:tc>
        <w:tc>
          <w:tcPr>
            <w:tcW w:w="744" w:type="dxa"/>
            <w:gridSpan w:val="2"/>
            <w:shd w:val="clear" w:color="auto" w:fill="auto"/>
          </w:tcPr>
          <w:p>
            <w:r>
              <w:t>文件名称</w:t>
            </w:r>
          </w:p>
        </w:tc>
        <w:tc>
          <w:tcPr>
            <w:tcW w:w="9523" w:type="dxa"/>
            <w:gridSpan w:val="2"/>
            <w:shd w:val="clear" w:color="auto" w:fill="auto"/>
          </w:tcPr>
          <w:p>
            <w:r>
              <w:t xml:space="preserve">如： </w:t>
            </w:r>
            <w:r>
              <w:rPr/>
              <w:sym w:font="Wingdings" w:char="00A8"/>
            </w:r>
            <w:r>
              <w:t xml:space="preserve">《验证和确认控制程序》 </w:t>
            </w:r>
            <w:r>
              <w:rPr/>
              <w:sym w:font="Wingdings" w:char="00FE"/>
            </w:r>
            <w:r>
              <w:t>《</w:t>
            </w:r>
            <w:r>
              <w:rPr>
                <w:rFonts w:hint="eastAsia"/>
                <w:sz w:val="21"/>
                <w:szCs w:val="21"/>
              </w:rPr>
              <w:t>食品安全管理体系确认验证程序</w:t>
            </w:r>
            <w:r>
              <w:rPr>
                <w:sz w:val="18"/>
                <w:szCs w:val="18"/>
              </w:rPr>
              <w:t>》</w:t>
            </w:r>
            <w:r>
              <w:rPr>
                <w:rFonts w:hint="eastAsia"/>
                <w:sz w:val="18"/>
                <w:szCs w:val="18"/>
              </w:rPr>
              <w:t xml:space="preserve"> </w:t>
            </w:r>
            <w:r>
              <w:t xml:space="preserve"> </w:t>
            </w:r>
            <w:r>
              <w:rPr/>
              <w:sym w:font="Wingdings" w:char="00A8"/>
            </w:r>
            <w:r>
              <w:rPr>
                <w:rFonts w:hint="eastAsia"/>
                <w:sz w:val="18"/>
                <w:szCs w:val="18"/>
              </w:rPr>
              <w:t>《验证程序》</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90" w:hRule="atLeast"/>
        </w:trPr>
        <w:tc>
          <w:tcPr>
            <w:tcW w:w="2174" w:type="dxa"/>
            <w:gridSpan w:val="2"/>
            <w:vMerge w:val="continue"/>
            <w:shd w:val="clear" w:color="auto" w:fill="auto"/>
          </w:tcPr>
          <w:p/>
        </w:tc>
        <w:tc>
          <w:tcPr>
            <w:tcW w:w="937" w:type="dxa"/>
            <w:gridSpan w:val="3"/>
            <w:vMerge w:val="continue"/>
            <w:shd w:val="clear" w:color="auto" w:fill="auto"/>
          </w:tcPr>
          <w:p/>
        </w:tc>
        <w:tc>
          <w:tcPr>
            <w:tcW w:w="744" w:type="dxa"/>
            <w:gridSpan w:val="2"/>
            <w:shd w:val="clear" w:color="auto" w:fill="auto"/>
          </w:tcPr>
          <w:p>
            <w:r>
              <w:t>运行证据</w:t>
            </w:r>
          </w:p>
        </w:tc>
        <w:tc>
          <w:tcPr>
            <w:tcW w:w="9523" w:type="dxa"/>
            <w:gridSpan w:val="2"/>
            <w:shd w:val="clear" w:color="auto" w:fill="auto"/>
          </w:tcPr>
          <w:p>
            <w:r>
              <w:t>食品安全小组对验证结果进行分析，并将其作为食品安全管理体系绩效评估的输入</w:t>
            </w:r>
          </w:p>
          <w:p>
            <w:pPr>
              <w:rPr>
                <w:highlight w:val="yellow"/>
              </w:rPr>
            </w:pPr>
          </w:p>
          <w:p>
            <w:pPr>
              <w:adjustRightInd w:val="0"/>
              <w:snapToGrid w:val="0"/>
              <w:spacing w:line="240" w:lineRule="atLeast"/>
              <w:ind w:firstLine="211" w:firstLineChars="100"/>
              <w:rPr>
                <w:rFonts w:ascii="宋体" w:hAnsi="宋体"/>
                <w:b/>
                <w:bCs/>
                <w:szCs w:val="21"/>
                <w:highlight w:val="none"/>
                <w:u w:val="single"/>
              </w:rPr>
            </w:pPr>
            <w:r>
              <w:rPr>
                <w:b/>
                <w:bCs/>
                <w:szCs w:val="21"/>
                <w:highlight w:val="none"/>
                <w:u w:val="single"/>
              </w:rPr>
              <w:t>有</w:t>
            </w:r>
            <w:r>
              <w:rPr>
                <w:rFonts w:hint="eastAsia"/>
                <w:b/>
                <w:bCs/>
                <w:szCs w:val="21"/>
                <w:highlight w:val="none"/>
                <w:u w:val="single"/>
              </w:rPr>
              <w:t>《PRP现场验证记录》</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2</w:t>
            </w:r>
            <w:r>
              <w:rPr>
                <w:rFonts w:hint="eastAsia" w:ascii="宋体" w:hAnsi="宋体"/>
                <w:b/>
                <w:bCs/>
                <w:szCs w:val="21"/>
                <w:highlight w:val="none"/>
                <w:u w:val="single"/>
              </w:rPr>
              <w:t>年</w:t>
            </w:r>
            <w:r>
              <w:rPr>
                <w:rFonts w:hint="eastAsia" w:ascii="宋体" w:hAnsi="宋体"/>
                <w:b/>
                <w:bCs/>
                <w:szCs w:val="21"/>
                <w:highlight w:val="none"/>
                <w:u w:val="single"/>
                <w:lang w:val="en-US" w:eastAsia="zh-CN"/>
              </w:rPr>
              <w:t>4</w:t>
            </w:r>
            <w:r>
              <w:rPr>
                <w:rFonts w:hint="eastAsia" w:ascii="宋体" w:hAnsi="宋体"/>
                <w:b/>
                <w:bCs/>
                <w:szCs w:val="21"/>
                <w:highlight w:val="none"/>
                <w:u w:val="single"/>
              </w:rPr>
              <w:t>月15日，结论：控制有效</w:t>
            </w:r>
          </w:p>
          <w:p>
            <w:pPr>
              <w:adjustRightInd w:val="0"/>
              <w:snapToGrid w:val="0"/>
              <w:spacing w:line="240" w:lineRule="atLeast"/>
              <w:ind w:firstLine="211" w:firstLineChars="100"/>
              <w:rPr>
                <w:rFonts w:hint="default" w:eastAsia="宋体"/>
                <w:b/>
                <w:bCs/>
                <w:szCs w:val="21"/>
                <w:highlight w:val="none"/>
                <w:u w:val="single"/>
                <w:lang w:val="en-US" w:eastAsia="zh-CN"/>
              </w:rPr>
            </w:pPr>
            <w:r>
              <w:rPr>
                <w:rFonts w:hint="eastAsia"/>
                <w:b/>
                <w:bCs/>
                <w:szCs w:val="21"/>
                <w:highlight w:val="none"/>
                <w:u w:val="single"/>
              </w:rPr>
              <w:t>《</w:t>
            </w:r>
            <w:r>
              <w:rPr>
                <w:rFonts w:hint="eastAsia"/>
                <w:b/>
                <w:bCs/>
                <w:szCs w:val="21"/>
                <w:highlight w:val="none"/>
                <w:u w:val="single"/>
                <w:lang w:val="en-US" w:eastAsia="zh-CN"/>
              </w:rPr>
              <w:t>HACCP计划验证</w:t>
            </w:r>
            <w:r>
              <w:rPr>
                <w:rFonts w:hint="eastAsia"/>
                <w:b/>
                <w:bCs/>
                <w:szCs w:val="21"/>
                <w:highlight w:val="none"/>
                <w:u w:val="single"/>
              </w:rPr>
              <w:t>记录表》，202</w:t>
            </w:r>
            <w:r>
              <w:rPr>
                <w:rFonts w:hint="eastAsia"/>
                <w:b/>
                <w:bCs/>
                <w:szCs w:val="21"/>
                <w:highlight w:val="none"/>
                <w:u w:val="single"/>
                <w:lang w:val="en-US" w:eastAsia="zh-CN"/>
              </w:rPr>
              <w:t>2</w:t>
            </w:r>
            <w:r>
              <w:rPr>
                <w:rFonts w:hint="eastAsia"/>
                <w:b/>
                <w:bCs/>
                <w:szCs w:val="21"/>
                <w:highlight w:val="none"/>
                <w:u w:val="single"/>
              </w:rPr>
              <w:t>-</w:t>
            </w:r>
            <w:r>
              <w:rPr>
                <w:rFonts w:hint="eastAsia"/>
                <w:b/>
                <w:bCs/>
                <w:szCs w:val="21"/>
                <w:highlight w:val="none"/>
                <w:u w:val="single"/>
                <w:lang w:val="en-US" w:eastAsia="zh-CN"/>
              </w:rPr>
              <w:t>4</w:t>
            </w:r>
            <w:r>
              <w:rPr>
                <w:rFonts w:hint="eastAsia"/>
                <w:b/>
                <w:bCs/>
                <w:szCs w:val="21"/>
                <w:highlight w:val="none"/>
                <w:u w:val="single"/>
              </w:rPr>
              <w:t>-</w:t>
            </w:r>
            <w:r>
              <w:rPr>
                <w:b/>
                <w:bCs/>
                <w:szCs w:val="21"/>
                <w:highlight w:val="none"/>
                <w:u w:val="single"/>
              </w:rPr>
              <w:t>15</w:t>
            </w:r>
            <w:r>
              <w:rPr>
                <w:rFonts w:hint="eastAsia"/>
                <w:b/>
                <w:bCs/>
                <w:szCs w:val="21"/>
                <w:highlight w:val="none"/>
                <w:u w:val="single"/>
              </w:rPr>
              <w:t>，结论：控制有效</w:t>
            </w:r>
            <w:r>
              <w:rPr>
                <w:rFonts w:hint="eastAsia"/>
                <w:b/>
                <w:bCs/>
                <w:szCs w:val="21"/>
                <w:highlight w:val="none"/>
                <w:u w:val="single"/>
                <w:lang w:eastAsia="zh-CN"/>
              </w:rPr>
              <w:t>，</w:t>
            </w:r>
            <w:r>
              <w:rPr>
                <w:rFonts w:hint="eastAsia"/>
                <w:b/>
                <w:bCs/>
                <w:szCs w:val="21"/>
                <w:highlight w:val="none"/>
                <w:u w:val="single"/>
                <w:lang w:val="en-US" w:eastAsia="zh-CN"/>
              </w:rPr>
              <w:t>验证内容不够充分，已与企业沟通</w:t>
            </w:r>
          </w:p>
          <w:p>
            <w:pPr>
              <w:adjustRightInd w:val="0"/>
              <w:snapToGrid w:val="0"/>
              <w:spacing w:line="240" w:lineRule="atLeast"/>
              <w:ind w:firstLine="211" w:firstLineChars="100"/>
              <w:rPr>
                <w:rFonts w:hint="default" w:eastAsia="宋体"/>
                <w:b/>
                <w:bCs/>
                <w:szCs w:val="21"/>
                <w:highlight w:val="none"/>
                <w:u w:val="single"/>
                <w:lang w:val="en-US" w:eastAsia="zh-CN"/>
              </w:rPr>
            </w:pPr>
            <w:r>
              <w:rPr>
                <w:b/>
                <w:bCs/>
                <w:szCs w:val="21"/>
                <w:highlight w:val="none"/>
                <w:u w:val="single"/>
              </w:rPr>
              <w:t>《验证活动结果分析报告》，</w:t>
            </w:r>
            <w:r>
              <w:rPr>
                <w:rFonts w:hint="eastAsia"/>
                <w:b/>
                <w:bCs/>
                <w:szCs w:val="21"/>
                <w:highlight w:val="none"/>
                <w:u w:val="single"/>
              </w:rPr>
              <w:t>202</w:t>
            </w:r>
            <w:r>
              <w:rPr>
                <w:rFonts w:hint="eastAsia"/>
                <w:b/>
                <w:bCs/>
                <w:szCs w:val="21"/>
                <w:highlight w:val="none"/>
                <w:u w:val="single"/>
                <w:lang w:val="en-US" w:eastAsia="zh-CN"/>
              </w:rPr>
              <w:t>2</w:t>
            </w:r>
            <w:r>
              <w:rPr>
                <w:rFonts w:hint="eastAsia"/>
                <w:b/>
                <w:bCs/>
                <w:szCs w:val="21"/>
                <w:highlight w:val="none"/>
                <w:u w:val="single"/>
              </w:rPr>
              <w:t>-</w:t>
            </w:r>
            <w:r>
              <w:rPr>
                <w:rFonts w:hint="eastAsia"/>
                <w:b/>
                <w:bCs/>
                <w:szCs w:val="21"/>
                <w:highlight w:val="none"/>
                <w:u w:val="single"/>
                <w:lang w:val="en-US" w:eastAsia="zh-CN"/>
              </w:rPr>
              <w:t>6</w:t>
            </w:r>
            <w:r>
              <w:rPr>
                <w:rFonts w:hint="eastAsia"/>
                <w:b/>
                <w:bCs/>
                <w:szCs w:val="21"/>
                <w:highlight w:val="none"/>
                <w:u w:val="single"/>
              </w:rPr>
              <w:t>-</w:t>
            </w:r>
            <w:r>
              <w:rPr>
                <w:rFonts w:hint="eastAsia"/>
                <w:b/>
                <w:bCs/>
                <w:szCs w:val="21"/>
                <w:highlight w:val="none"/>
                <w:u w:val="single"/>
                <w:lang w:val="en-US" w:eastAsia="zh-CN"/>
              </w:rPr>
              <w:t>2</w:t>
            </w:r>
            <w:r>
              <w:rPr>
                <w:rFonts w:hint="eastAsia"/>
                <w:b/>
                <w:bCs/>
                <w:szCs w:val="21"/>
                <w:highlight w:val="none"/>
                <w:u w:val="single"/>
              </w:rPr>
              <w:t>，结论：控制有效</w:t>
            </w:r>
            <w:r>
              <w:rPr>
                <w:b/>
                <w:bCs/>
                <w:szCs w:val="21"/>
                <w:highlight w:val="none"/>
                <w:u w:val="single"/>
              </w:rPr>
              <w:t>。</w:t>
            </w:r>
            <w:r>
              <w:rPr>
                <w:rFonts w:hint="eastAsia"/>
                <w:b/>
                <w:bCs/>
                <w:szCs w:val="21"/>
                <w:highlight w:val="none"/>
                <w:u w:val="single"/>
                <w:lang w:val="en-US" w:eastAsia="zh-CN"/>
              </w:rPr>
              <w:t>验证结果分析报告内容不够充分，已与企业沟通。</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486" w:hRule="atLeast"/>
        </w:trPr>
        <w:tc>
          <w:tcPr>
            <w:tcW w:w="2174" w:type="dxa"/>
            <w:gridSpan w:val="2"/>
            <w:vMerge w:val="restart"/>
            <w:shd w:val="clear" w:color="auto" w:fill="auto"/>
          </w:tcPr>
          <w:p>
            <w:r>
              <w:t>分析与评价</w:t>
            </w:r>
          </w:p>
        </w:tc>
        <w:tc>
          <w:tcPr>
            <w:tcW w:w="937" w:type="dxa"/>
            <w:gridSpan w:val="3"/>
            <w:vMerge w:val="restart"/>
            <w:shd w:val="clear" w:color="auto" w:fill="auto"/>
          </w:tcPr>
          <w:p>
            <w:r>
              <w:t>F9.1.2</w:t>
            </w:r>
          </w:p>
        </w:tc>
        <w:tc>
          <w:tcPr>
            <w:tcW w:w="744" w:type="dxa"/>
            <w:gridSpan w:val="2"/>
            <w:shd w:val="clear" w:color="auto" w:fill="auto"/>
          </w:tcPr>
          <w:p>
            <w:r>
              <w:t>文件名称</w:t>
            </w:r>
          </w:p>
        </w:tc>
        <w:tc>
          <w:tcPr>
            <w:tcW w:w="9523" w:type="dxa"/>
            <w:gridSpan w:val="2"/>
            <w:shd w:val="clear" w:color="auto" w:fill="auto"/>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2" w:type="dxa"/>
          <w:trHeight w:val="1590" w:hRule="atLeast"/>
        </w:trPr>
        <w:tc>
          <w:tcPr>
            <w:tcW w:w="2174" w:type="dxa"/>
            <w:gridSpan w:val="2"/>
            <w:vMerge w:val="continue"/>
            <w:shd w:val="clear" w:color="auto" w:fill="auto"/>
          </w:tcPr>
          <w:p/>
        </w:tc>
        <w:tc>
          <w:tcPr>
            <w:tcW w:w="937" w:type="dxa"/>
            <w:gridSpan w:val="3"/>
            <w:vMerge w:val="continue"/>
            <w:shd w:val="clear" w:color="auto" w:fill="auto"/>
          </w:tcPr>
          <w:p/>
        </w:tc>
        <w:tc>
          <w:tcPr>
            <w:tcW w:w="744" w:type="dxa"/>
            <w:gridSpan w:val="2"/>
            <w:shd w:val="clear" w:color="auto" w:fill="auto"/>
          </w:tcPr>
          <w:p>
            <w:r>
              <w:t>运行证据</w:t>
            </w:r>
          </w:p>
        </w:tc>
        <w:tc>
          <w:tcPr>
            <w:tcW w:w="9523" w:type="dxa"/>
            <w:gridSpan w:val="2"/>
            <w:shd w:val="clear" w:color="auto" w:fill="auto"/>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pPr>
              <w:rPr>
                <w:rFonts w:hint="default" w:eastAsia="宋体"/>
                <w:lang w:val="en-US" w:eastAsia="zh-CN"/>
              </w:rPr>
            </w:pPr>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Pr>
              <w:rPr>
                <w:rFonts w:hint="eastAsia" w:eastAsia="宋体"/>
                <w:lang w:val="en-US" w:eastAsia="zh-CN"/>
              </w:rPr>
            </w:pPr>
          </w:p>
          <w:p>
            <w:pPr>
              <w:rPr>
                <w:rFonts w:hint="default" w:eastAsia="宋体"/>
                <w:lang w:val="en-US" w:eastAsia="zh-CN"/>
              </w:rPr>
            </w:pPr>
            <w:r>
              <w:rPr>
                <w:u w:val="single"/>
              </w:rPr>
              <w:t>见《验证结果分析报告》</w:t>
            </w:r>
            <w:r>
              <w:rPr>
                <w:rFonts w:hint="eastAsia"/>
                <w:u w:val="single"/>
                <w:lang w:eastAsia="zh-CN"/>
              </w:rPr>
              <w:t>、</w:t>
            </w:r>
            <w:r>
              <w:rPr>
                <w:rFonts w:hint="eastAsia"/>
                <w:u w:val="single"/>
                <w:lang w:val="en-US" w:eastAsia="zh-CN"/>
              </w:rPr>
              <w:t>《管理评审报告》</w:t>
            </w:r>
          </w:p>
        </w:tc>
        <w:tc>
          <w:tcPr>
            <w:tcW w:w="1290" w:type="dxa"/>
            <w:vMerge w:val="continue"/>
            <w:shd w:val="clear" w:color="auto" w:fill="auto"/>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45" w:firstLineChars="450"/>
      <w:jc w:val="left"/>
      <w:rPr>
        <w:rStyle w:val="18"/>
        <w:rFonts w:hint="default"/>
      </w:rPr>
    </w:pPr>
    <w:r>
      <w:rPr>
        <w:rStyle w:val="18"/>
        <w:rFonts w:hint="default"/>
      </w:rPr>
      <w:drawing>
        <wp:anchor distT="0" distB="0" distL="114300" distR="114300" simplePos="0" relativeHeight="251660288" behindDoc="0" locked="0" layoutInCell="1" allowOverlap="1">
          <wp:simplePos x="0" y="0"/>
          <wp:positionH relativeFrom="column">
            <wp:posOffset>18415</wp:posOffset>
          </wp:positionH>
          <wp:positionV relativeFrom="paragraph">
            <wp:posOffset>-20955</wp:posOffset>
          </wp:positionV>
          <wp:extent cx="481330" cy="484505"/>
          <wp:effectExtent l="0" t="0" r="4445" b="127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172A27"/>
    <w:rsid w:val="0000618F"/>
    <w:rsid w:val="00014985"/>
    <w:rsid w:val="000172A7"/>
    <w:rsid w:val="00020D48"/>
    <w:rsid w:val="000237F6"/>
    <w:rsid w:val="00031FA4"/>
    <w:rsid w:val="0003219A"/>
    <w:rsid w:val="00033365"/>
    <w:rsid w:val="0003373A"/>
    <w:rsid w:val="00036635"/>
    <w:rsid w:val="000400E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0795"/>
    <w:rsid w:val="001A2D7F"/>
    <w:rsid w:val="001A5750"/>
    <w:rsid w:val="001C015D"/>
    <w:rsid w:val="001C4036"/>
    <w:rsid w:val="001C7883"/>
    <w:rsid w:val="001D59CA"/>
    <w:rsid w:val="001D6CDE"/>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56733"/>
    <w:rsid w:val="00A74E10"/>
    <w:rsid w:val="00A80636"/>
    <w:rsid w:val="00A856B9"/>
    <w:rsid w:val="00A85E35"/>
    <w:rsid w:val="00A87338"/>
    <w:rsid w:val="00A92316"/>
    <w:rsid w:val="00A92400"/>
    <w:rsid w:val="00AB0E26"/>
    <w:rsid w:val="00AB4939"/>
    <w:rsid w:val="00AB6A85"/>
    <w:rsid w:val="00AC2FE4"/>
    <w:rsid w:val="00AC505A"/>
    <w:rsid w:val="00AC73E8"/>
    <w:rsid w:val="00AC7D83"/>
    <w:rsid w:val="00AD4BDC"/>
    <w:rsid w:val="00AE06F2"/>
    <w:rsid w:val="00AE313E"/>
    <w:rsid w:val="00AE46F3"/>
    <w:rsid w:val="00AF0AAB"/>
    <w:rsid w:val="00AF0CE4"/>
    <w:rsid w:val="00AF4C80"/>
    <w:rsid w:val="00AF7608"/>
    <w:rsid w:val="00B06469"/>
    <w:rsid w:val="00B2731A"/>
    <w:rsid w:val="00B36B10"/>
    <w:rsid w:val="00B36E58"/>
    <w:rsid w:val="00B45443"/>
    <w:rsid w:val="00B47769"/>
    <w:rsid w:val="00B53542"/>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0A8F"/>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6F609B6"/>
    <w:rsid w:val="0700448C"/>
    <w:rsid w:val="07045FF9"/>
    <w:rsid w:val="071261A2"/>
    <w:rsid w:val="072B7E9F"/>
    <w:rsid w:val="07373D26"/>
    <w:rsid w:val="0790237C"/>
    <w:rsid w:val="07A565CE"/>
    <w:rsid w:val="07C13D29"/>
    <w:rsid w:val="07ED0401"/>
    <w:rsid w:val="07EF616D"/>
    <w:rsid w:val="07F5731B"/>
    <w:rsid w:val="081B6228"/>
    <w:rsid w:val="0833198E"/>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7D54F9"/>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92B95"/>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31A17"/>
    <w:rsid w:val="1ACE3514"/>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D8176C"/>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1607BB"/>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8B0720"/>
    <w:rsid w:val="31B477DB"/>
    <w:rsid w:val="31B67BE2"/>
    <w:rsid w:val="31CA71DD"/>
    <w:rsid w:val="3214697D"/>
    <w:rsid w:val="32341738"/>
    <w:rsid w:val="324E5138"/>
    <w:rsid w:val="325E1B93"/>
    <w:rsid w:val="328A7FD8"/>
    <w:rsid w:val="32C4038E"/>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BD5987"/>
    <w:rsid w:val="4FCB0E76"/>
    <w:rsid w:val="4FED133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333BD"/>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D3507F"/>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27505C"/>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DC2892"/>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7945A3"/>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annotation text"/>
    <w:basedOn w:val="1"/>
    <w:link w:val="22"/>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5"/>
    <w:next w:val="5"/>
    <w:link w:val="23"/>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5"/>
    <w:semiHidden/>
    <w:qFormat/>
    <w:uiPriority w:val="99"/>
    <w:rPr>
      <w:kern w:val="2"/>
      <w:sz w:val="21"/>
    </w:rPr>
  </w:style>
  <w:style w:type="character" w:customStyle="1" w:styleId="23">
    <w:name w:val="批注主题 字符"/>
    <w:basedOn w:val="22"/>
    <w:link w:val="10"/>
    <w:semiHidden/>
    <w:qFormat/>
    <w:uiPriority w:val="99"/>
    <w:rPr>
      <w:b/>
      <w:bCs/>
      <w:kern w:val="2"/>
      <w:sz w:val="21"/>
    </w:r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2048</Words>
  <Characters>11677</Characters>
  <Lines>97</Lines>
  <Paragraphs>27</Paragraphs>
  <TotalTime>2</TotalTime>
  <ScaleCrop>false</ScaleCrop>
  <LinksUpToDate>false</LinksUpToDate>
  <CharactersWithSpaces>13698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2022-10-10T07:35:18Z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64852FA3FEDF4F71AAFA67ED25A1739C</vt:lpwstr>
  </property>
</Properties>
</file>