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财务部；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吴杰熊；</w:t>
            </w:r>
            <w:r>
              <w:rPr>
                <w:rFonts w:hint="eastAsia"/>
                <w:sz w:val="24"/>
                <w:szCs w:val="24"/>
              </w:rPr>
              <w:t>陪同人员：陈志林</w:t>
            </w:r>
            <w:bookmarkStart w:id="1" w:name="_GoBack"/>
            <w:bookmarkEnd w:id="1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周文；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>2022年09月1</w:t>
            </w:r>
            <w:r>
              <w:rPr>
                <w:rFonts w:hint="eastAsia"/>
                <w:lang w:val="en-US" w:eastAsia="zh-CN"/>
              </w:rPr>
              <w:t>7</w:t>
            </w:r>
            <w:r>
              <w:t xml:space="preserve">日 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QMS：5.3，6.2；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5.3，6.1.2，6.2，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7.1，</w:t>
            </w:r>
            <w:r>
              <w:rPr>
                <w:rFonts w:hint="eastAsia"/>
                <w:sz w:val="21"/>
                <w:szCs w:val="21"/>
              </w:rPr>
              <w:t>8.1，8.2；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OHS: 5.3，6.1.2，6.2，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7.1，</w:t>
            </w:r>
            <w:r>
              <w:rPr>
                <w:rFonts w:hint="eastAsia"/>
                <w:sz w:val="21"/>
                <w:szCs w:val="21"/>
              </w:rPr>
              <w:t>8.1，8.2；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职能分配</w:t>
            </w:r>
          </w:p>
        </w:tc>
        <w:tc>
          <w:tcPr>
            <w:tcW w:w="960" w:type="dxa"/>
            <w:vAlign w:val="top"/>
          </w:tcPr>
          <w:p>
            <w:r>
              <w:rPr>
                <w:rFonts w:hint="eastAsia"/>
                <w:lang w:val="en-US" w:eastAsia="zh-CN"/>
              </w:rPr>
              <w:t>QES5.3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查手册0.8 管理职责描述：</w:t>
            </w:r>
          </w:p>
          <w:p>
            <w:pPr>
              <w:pStyle w:val="3"/>
              <w:spacing w:line="410" w:lineRule="exact"/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财务</w:t>
            </w:r>
            <w:r>
              <w:rPr>
                <w:rFonts w:hint="eastAsia"/>
                <w:b/>
                <w:sz w:val="24"/>
              </w:rPr>
              <w:t>部职责：</w:t>
            </w:r>
          </w:p>
          <w:p>
            <w:pPr>
              <w:pStyle w:val="3"/>
              <w:numPr>
                <w:ilvl w:val="0"/>
                <w:numId w:val="1"/>
              </w:numPr>
              <w:spacing w:line="41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负责本部门环境因素和职业健康安全危险源的识别，并采取措施予以控制；</w:t>
            </w:r>
          </w:p>
          <w:p>
            <w:pPr>
              <w:pStyle w:val="3"/>
              <w:numPr>
                <w:ilvl w:val="0"/>
                <w:numId w:val="1"/>
              </w:numPr>
              <w:spacing w:line="410" w:lineRule="exact"/>
              <w:ind w:left="826" w:hanging="34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负责部门有关环境和职业健康安全信息向有关部门进行交流；</w:t>
            </w:r>
          </w:p>
          <w:p>
            <w:pPr>
              <w:pStyle w:val="3"/>
              <w:numPr>
                <w:ilvl w:val="0"/>
                <w:numId w:val="1"/>
              </w:numPr>
              <w:spacing w:line="410" w:lineRule="exact"/>
              <w:ind w:left="826" w:hanging="34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负责在本部门内对质量、环境与职业健康安全方针予以宣传和贯彻；</w:t>
            </w:r>
          </w:p>
          <w:p>
            <w:pPr>
              <w:pStyle w:val="3"/>
              <w:numPr>
                <w:ilvl w:val="0"/>
                <w:numId w:val="1"/>
              </w:numPr>
              <w:spacing w:line="410" w:lineRule="exact"/>
              <w:ind w:left="826" w:hanging="34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负责为体系的有效运行提供资金保障和支持；</w:t>
            </w:r>
          </w:p>
          <w:p>
            <w:pPr>
              <w:pStyle w:val="3"/>
              <w:numPr>
                <w:ilvl w:val="0"/>
                <w:numId w:val="1"/>
              </w:numPr>
              <w:spacing w:line="410" w:lineRule="exact"/>
              <w:ind w:left="826" w:hanging="34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负责职业健康安全与环境体系资金情况的监视；</w:t>
            </w:r>
          </w:p>
          <w:p>
            <w:pPr>
              <w:pStyle w:val="3"/>
              <w:numPr>
                <w:ilvl w:val="0"/>
                <w:numId w:val="1"/>
              </w:numPr>
              <w:spacing w:line="410" w:lineRule="exact"/>
              <w:ind w:left="826" w:hanging="34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负责财务管理、税务筹划、预算管理等。</w:t>
            </w:r>
          </w:p>
          <w:p>
            <w:pPr>
              <w:pStyle w:val="2"/>
              <w:ind w:firstLine="52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——</w:t>
            </w:r>
            <w:r>
              <w:rPr>
                <w:rFonts w:hint="eastAsia"/>
                <w:sz w:val="24"/>
                <w:lang w:val="en-US" w:eastAsia="zh-CN"/>
              </w:rPr>
              <w:t>部门负责人口述职责与文件规定基本一致</w:t>
            </w:r>
          </w:p>
          <w:p>
            <w:pPr>
              <w:pStyle w:val="2"/>
            </w:pPr>
            <w:r>
              <w:rPr>
                <w:rFonts w:hint="eastAsia"/>
                <w:sz w:val="24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目标实现过程</w:t>
            </w:r>
          </w:p>
        </w:tc>
        <w:tc>
          <w:tcPr>
            <w:tcW w:w="960" w:type="dxa"/>
            <w:vAlign w:val="top"/>
          </w:tcPr>
          <w:p>
            <w:r>
              <w:rPr>
                <w:rFonts w:hint="eastAsia"/>
                <w:lang w:val="en-US" w:eastAsia="zh-CN"/>
              </w:rPr>
              <w:t>QES6.2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策划有《QESP-6.2目标、指标与方案控制程序》。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查“2022年管理目标完成统计表”，编制：陈志林    批准：张建华    2022.08.31。</w:t>
            </w:r>
          </w:p>
          <w:tbl>
            <w:tblPr>
              <w:tblStyle w:val="7"/>
              <w:tblW w:w="9474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7"/>
              <w:gridCol w:w="609"/>
              <w:gridCol w:w="2251"/>
              <w:gridCol w:w="876"/>
              <w:gridCol w:w="877"/>
              <w:gridCol w:w="1304"/>
              <w:gridCol w:w="621"/>
              <w:gridCol w:w="621"/>
              <w:gridCol w:w="621"/>
              <w:gridCol w:w="621"/>
              <w:gridCol w:w="69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</w:trPr>
              <w:tc>
                <w:tcPr>
                  <w:tcW w:w="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60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财务部</w:t>
                  </w:r>
                </w:p>
              </w:tc>
              <w:tc>
                <w:tcPr>
                  <w:tcW w:w="2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环保安全资金及时到位率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1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财务部月度统计</w:t>
                  </w:r>
                </w:p>
              </w:tc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</w:trPr>
              <w:tc>
                <w:tcPr>
                  <w:tcW w:w="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60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全年无职业病发生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1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综合管理部月度统计</w:t>
                  </w:r>
                </w:p>
              </w:tc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6" w:hRule="atLeast"/>
              </w:trPr>
              <w:tc>
                <w:tcPr>
                  <w:tcW w:w="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60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全年无火灾事故发生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1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综合管理部月度统计</w:t>
                  </w:r>
                </w:p>
              </w:tc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记录显示，贯标开始至今部门QES目标均已达成。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环境因素/危险源识别评价</w:t>
            </w:r>
          </w:p>
        </w:tc>
        <w:tc>
          <w:tcPr>
            <w:tcW w:w="960" w:type="dxa"/>
            <w:vAlign w:val="top"/>
          </w:tcPr>
          <w:p>
            <w:r>
              <w:rPr>
                <w:rFonts w:hint="eastAsia"/>
                <w:lang w:val="en-US" w:eastAsia="zh-CN"/>
              </w:rPr>
              <w:t>ES6.1.2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策划有《QESP-6.1风险识别控制程序》。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查“财务部环境因素调查表”，共识别环境因数5项；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5784850" cy="2095500"/>
                  <wp:effectExtent l="0" t="0" r="635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查重要环境因素：本部门不涉及。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查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“财务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部危险源辨识评价表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”，通过LEC法共识别危险源7项：</w:t>
            </w:r>
          </w:p>
          <w:p>
            <w:pPr>
              <w:pStyle w:val="2"/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5981700" cy="1790700"/>
                  <wp:effectExtent l="0" t="0" r="0" b="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18"/>
                <w:lang w:val="en-US" w:eastAsia="zh-CN"/>
              </w:rPr>
              <w:t>查不可接受风险：</w:t>
            </w:r>
            <w:r>
              <w:rPr>
                <w:rFonts w:hint="eastAsia"/>
                <w:lang w:val="en-US" w:eastAsia="zh-CN"/>
              </w:rPr>
              <w:t>本部门不涉及。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资源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ES7.1</w:t>
            </w:r>
          </w:p>
        </w:tc>
        <w:tc>
          <w:tcPr>
            <w:tcW w:w="10004" w:type="dxa"/>
            <w:vAlign w:val="top"/>
          </w:tcPr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查2022.01-2022.9.ES资源提供：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水电费：121.21万元/年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设施维修费：477.51万元/年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环保设施投入：323万元/年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固废、危废清运投入：4万元/年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防护用品投入：27万元/年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社保投入：111.33万元/年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运行的策划和控制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ES8.1</w:t>
            </w:r>
          </w:p>
        </w:tc>
        <w:tc>
          <w:tcPr>
            <w:tcW w:w="10004" w:type="dxa"/>
            <w:vAlign w:val="top"/>
          </w:tcPr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负责人介绍，本部门按主控部门的策划的ES的目标管理方案进行控制，主要有下班关闭所有电源，定时检查电气线路，垃圾按规定处置等。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现场观察，财务部办公室干净整洁，未见明显环境安全隐患。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应急准备和晌应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ES8.2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部门参与2022.7.5.由主控部门组织的</w:t>
            </w:r>
            <w:r>
              <w:rPr>
                <w:rFonts w:hint="eastAsia"/>
              </w:rPr>
              <w:t>火灾消防演习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有效果评价，</w:t>
            </w: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22228"/>
    <w:multiLevelType w:val="multilevel"/>
    <w:tmpl w:val="40722228"/>
    <w:lvl w:ilvl="0" w:tentative="0">
      <w:start w:val="1"/>
      <w:numFmt w:val="lowerLetter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5151950"/>
    <w:rsid w:val="07726BE5"/>
    <w:rsid w:val="0A60366D"/>
    <w:rsid w:val="0FEE12BB"/>
    <w:rsid w:val="10EC2026"/>
    <w:rsid w:val="20052895"/>
    <w:rsid w:val="25BB4C89"/>
    <w:rsid w:val="2D524C40"/>
    <w:rsid w:val="2ED41076"/>
    <w:rsid w:val="3D000214"/>
    <w:rsid w:val="3ED5122D"/>
    <w:rsid w:val="48704B76"/>
    <w:rsid w:val="4A9D309B"/>
    <w:rsid w:val="4DB27309"/>
    <w:rsid w:val="52045C59"/>
    <w:rsid w:val="573C40E7"/>
    <w:rsid w:val="57CB50E3"/>
    <w:rsid w:val="5C7056B2"/>
    <w:rsid w:val="60261490"/>
    <w:rsid w:val="62AC5F29"/>
    <w:rsid w:val="65332685"/>
    <w:rsid w:val="65B91FF3"/>
    <w:rsid w:val="69707633"/>
    <w:rsid w:val="6A9040D6"/>
    <w:rsid w:val="6AAD2EDA"/>
    <w:rsid w:val="74957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834</Words>
  <Characters>1003</Characters>
  <Lines>1</Lines>
  <Paragraphs>1</Paragraphs>
  <TotalTime>0</TotalTime>
  <ScaleCrop>false</ScaleCrop>
  <LinksUpToDate>false</LinksUpToDate>
  <CharactersWithSpaces>1016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2022-12-02T06:28:41Z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2052-11.1.0.12132</vt:lpwstr>
  </property>
</Properties>
</file>