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8" w:rsidRPr="00061867" w:rsidRDefault="005B7EF6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061867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096AA8" w:rsidRPr="00EF34EE">
        <w:trPr>
          <w:trHeight w:val="515"/>
        </w:trPr>
        <w:tc>
          <w:tcPr>
            <w:tcW w:w="1707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096AA8" w:rsidRPr="00EF34EE" w:rsidRDefault="005B7EF6" w:rsidP="00AC5DBA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096AA8" w:rsidRPr="00EF34EE" w:rsidRDefault="005B7EF6" w:rsidP="00AE2B50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AB48CD" w:rsidRPr="00EF34EE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办公室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主管领导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proofErr w:type="gramStart"/>
            <w:r w:rsidR="005C42EC">
              <w:rPr>
                <w:rFonts w:ascii="楷体" w:eastAsia="楷体" w:hAnsi="楷体" w:cs="宋体" w:hint="eastAsia"/>
                <w:sz w:val="24"/>
                <w:szCs w:val="24"/>
              </w:rPr>
              <w:t>刘梅霞</w:t>
            </w:r>
            <w:proofErr w:type="gramEnd"/>
            <w:r w:rsidR="00AB48CD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</w:t>
            </w:r>
            <w:r w:rsidR="0041252E"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陪同人员：</w:t>
            </w:r>
            <w:r w:rsidR="00AE2B50">
              <w:rPr>
                <w:rFonts w:ascii="楷体" w:eastAsia="楷体" w:hAnsi="楷体" w:cs="宋体" w:hint="eastAsia"/>
                <w:sz w:val="24"/>
                <w:szCs w:val="24"/>
              </w:rPr>
              <w:t>许鹏飞</w:t>
            </w:r>
          </w:p>
        </w:tc>
        <w:tc>
          <w:tcPr>
            <w:tcW w:w="760" w:type="dxa"/>
            <w:vMerge w:val="restart"/>
            <w:vAlign w:val="center"/>
          </w:tcPr>
          <w:p w:rsidR="00096AA8" w:rsidRPr="00EF34EE" w:rsidRDefault="005B7EF6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096AA8" w:rsidRPr="00EF34EE">
        <w:trPr>
          <w:trHeight w:val="403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CE576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审核员：姜海军                审核时间：</w:t>
            </w:r>
            <w:r w:rsidR="003F14C0" w:rsidRPr="00EF34EE"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CE5762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CE5762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B23FA" w:rsidRPr="00EF34EE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CE5762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096AA8" w:rsidRPr="00EF34EE">
        <w:trPr>
          <w:trHeight w:val="800"/>
        </w:trPr>
        <w:tc>
          <w:tcPr>
            <w:tcW w:w="1707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096AA8" w:rsidRPr="00EF34EE" w:rsidRDefault="005B7EF6" w:rsidP="00BF5663">
            <w:pPr>
              <w:snapToGrid w:val="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QMS: 5.3组织的岗位、职责和权限、6.2质量目标、7.1.6组织知识、7.</w:t>
            </w:r>
            <w:r w:rsidR="00BF5663">
              <w:rPr>
                <w:rFonts w:ascii="楷体" w:eastAsia="楷体" w:hAnsi="楷体" w:cs="Arial" w:hint="eastAsia"/>
                <w:szCs w:val="21"/>
              </w:rPr>
              <w:t>5</w:t>
            </w:r>
            <w:r w:rsidR="00BF5663" w:rsidRPr="00BF5663">
              <w:rPr>
                <w:rFonts w:ascii="楷体" w:eastAsia="楷体" w:hAnsi="楷体" w:cs="Arial" w:hint="eastAsia"/>
                <w:szCs w:val="21"/>
              </w:rPr>
              <w:t>形成文件的信息</w:t>
            </w:r>
            <w:r w:rsidR="00BF5663">
              <w:rPr>
                <w:rFonts w:ascii="楷体" w:eastAsia="楷体" w:hAnsi="楷体" w:cs="Arial" w:hint="eastAsia"/>
                <w:spacing w:val="-6"/>
                <w:szCs w:val="21"/>
              </w:rPr>
              <w:t>、9.1.1监视、测量、分析和评价总则</w:t>
            </w:r>
            <w:r w:rsidR="00BF5663">
              <w:rPr>
                <w:rFonts w:ascii="楷体" w:eastAsia="楷体" w:hAnsi="楷体" w:cs="Arial" w:hint="eastAsia"/>
                <w:szCs w:val="21"/>
              </w:rPr>
              <w:t>、9.1.3分析与评价</w:t>
            </w:r>
            <w:r w:rsidR="003D1A21" w:rsidRPr="00061867">
              <w:rPr>
                <w:rFonts w:ascii="楷体" w:eastAsia="楷体" w:hAnsi="楷体" w:cs="Arial" w:hint="eastAsia"/>
                <w:szCs w:val="21"/>
              </w:rPr>
              <w:t>、9.2 内部审核</w:t>
            </w:r>
            <w:r w:rsidR="002416BE" w:rsidRPr="002416BE">
              <w:rPr>
                <w:rFonts w:ascii="楷体" w:eastAsia="楷体" w:hAnsi="楷体" w:cs="Arial" w:hint="eastAsia"/>
                <w:szCs w:val="21"/>
              </w:rPr>
              <w:t>、10.2不合格和纠正措施</w:t>
            </w:r>
            <w:r w:rsidRPr="00061867">
              <w:rPr>
                <w:rFonts w:ascii="楷体" w:eastAsia="楷体" w:hAnsi="楷体" w:cs="Arial" w:hint="eastAsia"/>
                <w:szCs w:val="21"/>
              </w:rPr>
              <w:t>，</w:t>
            </w:r>
          </w:p>
        </w:tc>
        <w:tc>
          <w:tcPr>
            <w:tcW w:w="760" w:type="dxa"/>
            <w:vMerge/>
          </w:tcPr>
          <w:p w:rsidR="00096AA8" w:rsidRPr="00EF34EE" w:rsidRDefault="00096AA8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4125AA" w:rsidRPr="00EF34EE">
        <w:trPr>
          <w:trHeight w:val="800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公司的岗位、职责、和权限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 xml:space="preserve">Q：5.3  </w:t>
            </w:r>
          </w:p>
        </w:tc>
        <w:tc>
          <w:tcPr>
            <w:tcW w:w="11223" w:type="dxa"/>
            <w:vAlign w:val="center"/>
          </w:tcPr>
          <w:p w:rsidR="004125AA" w:rsidRPr="00EF34EE" w:rsidRDefault="004125AA" w:rsidP="00147A8C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公司编制的</w:t>
            </w:r>
            <w:r w:rsidR="00225E84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质量手册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中确定了公司机构图，职能分配表，并在相关章节中明确了办公室所涉及各项工作的作用、职责和权限等要求。现场审核了解到，本部门主要负责：人力资源配备，员工招聘、绩效考核管理；办公用品的管理，信息交流与沟通，后勤事务管理；负责公司知识的识别更新传递；负责文件、记录的管理、控制；</w:t>
            </w:r>
            <w:r w:rsidR="00147A8C"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负责体系运行检查、内审</w:t>
            </w:r>
            <w:r w:rsidRPr="00EF34EE">
              <w:rPr>
                <w:rFonts w:ascii="楷体" w:eastAsia="楷体" w:hAnsi="楷体" w:cstheme="minorEastAsia" w:hint="eastAsia"/>
                <w:sz w:val="24"/>
                <w:szCs w:val="24"/>
              </w:rPr>
              <w:t>，不符合纠正与预防等。</w:t>
            </w:r>
          </w:p>
        </w:tc>
        <w:tc>
          <w:tcPr>
            <w:tcW w:w="760" w:type="dxa"/>
          </w:tcPr>
          <w:p w:rsidR="004125AA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125AA" w:rsidRPr="00EF34EE" w:rsidTr="001B558B">
        <w:trPr>
          <w:trHeight w:val="1888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6.2</w:t>
            </w:r>
          </w:p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tbl>
            <w:tblPr>
              <w:tblStyle w:val="aa"/>
              <w:tblpPr w:leftFromText="180" w:rightFromText="180" w:horzAnchor="margin" w:tblpY="814"/>
              <w:tblOverlap w:val="never"/>
              <w:tblW w:w="6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7"/>
              <w:gridCol w:w="2237"/>
            </w:tblGrid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58B" w:rsidRPr="00EF34EE" w:rsidRDefault="00AB3108" w:rsidP="00FF7F55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010360" w:rsidRDefault="00AB3108" w:rsidP="00AB3108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010360" w:rsidRDefault="00AB3108" w:rsidP="00F6701D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EF34EE">
                    <w:rPr>
                      <w:rFonts w:ascii="楷体" w:eastAsia="楷体" w:hAnsi="楷体" w:hint="eastAsia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AB3108" w:rsidRPr="00EF34EE" w:rsidTr="00B66EE0">
              <w:trPr>
                <w:trHeight w:val="560"/>
              </w:trPr>
              <w:tc>
                <w:tcPr>
                  <w:tcW w:w="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3108" w:rsidRPr="00EF34EE" w:rsidRDefault="00AB3108" w:rsidP="00F6701D">
                  <w:pPr>
                    <w:widowControl/>
                    <w:jc w:val="left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3108" w:rsidRPr="00010360" w:rsidRDefault="00AB3108" w:rsidP="00045CA3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010360">
                    <w:rPr>
                      <w:rFonts w:ascii="楷体" w:eastAsia="楷体" w:hAnsi="楷体" w:hint="eastAsia"/>
                      <w:sz w:val="24"/>
                      <w:szCs w:val="24"/>
                    </w:rPr>
                    <w:t>培训一次考核合格率≥90%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108" w:rsidRPr="00010360" w:rsidRDefault="00AB3108" w:rsidP="00045CA3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010360">
                    <w:rPr>
                      <w:rFonts w:ascii="楷体" w:eastAsia="楷体" w:hAnsi="楷体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1B558B" w:rsidRDefault="00033302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C3918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2C3918">
              <w:rPr>
                <w:rFonts w:ascii="楷体" w:eastAsia="楷体" w:hAnsi="楷体" w:hint="eastAsia"/>
                <w:sz w:val="24"/>
                <w:szCs w:val="24"/>
              </w:rPr>
              <w:t xml:space="preserve">门目标： </w:t>
            </w: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B558B" w:rsidRDefault="001B558B" w:rsidP="00AC5DB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4125AA" w:rsidRPr="00EF34EE" w:rsidRDefault="00F6701D" w:rsidP="002702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从202</w:t>
            </w:r>
            <w:r w:rsidR="00270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270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B66EE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月30日</w:t>
            </w:r>
            <w:r w:rsidRPr="00EF34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统计考核，目标达成。</w:t>
            </w:r>
          </w:p>
        </w:tc>
        <w:tc>
          <w:tcPr>
            <w:tcW w:w="760" w:type="dxa"/>
          </w:tcPr>
          <w:p w:rsidR="004125AA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4125AA" w:rsidRPr="00EF34EE" w:rsidTr="006C63E2">
        <w:trPr>
          <w:trHeight w:val="959"/>
        </w:trPr>
        <w:tc>
          <w:tcPr>
            <w:tcW w:w="1707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组织的知识</w:t>
            </w:r>
          </w:p>
        </w:tc>
        <w:tc>
          <w:tcPr>
            <w:tcW w:w="1019" w:type="dxa"/>
            <w:vAlign w:val="center"/>
          </w:tcPr>
          <w:p w:rsidR="004125AA" w:rsidRPr="00EF34EE" w:rsidRDefault="004125AA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Q7.1.6</w:t>
            </w:r>
          </w:p>
        </w:tc>
        <w:tc>
          <w:tcPr>
            <w:tcW w:w="11223" w:type="dxa"/>
            <w:vAlign w:val="center"/>
          </w:tcPr>
          <w:p w:rsidR="004125AA" w:rsidRPr="00EF34EE" w:rsidRDefault="000845F8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负责公司所需知识的确定、保持和获取，企业确定了过程运行和实现产品和服务的符合性所需要的知识，知识得到保持，并且必要时在一定程度上可获取。应对变化的需求和趋势时，考虑了现有的知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识和确定如何获取或访问所需的额外知识，以及要求的更新。</w:t>
            </w:r>
          </w:p>
          <w:p w:rsidR="004125AA" w:rsidRPr="00EF34EE" w:rsidRDefault="00976A8C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组织知识包括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外部知识、专业知识、管理经验、教训，通过会议，文件传达或制定有关作业指导书进行培训</w:t>
            </w:r>
            <w:r w:rsidR="00730FFB">
              <w:rPr>
                <w:rFonts w:ascii="楷体" w:eastAsia="楷体" w:hAnsi="楷体" w:hint="eastAsia"/>
                <w:sz w:val="24"/>
                <w:szCs w:val="24"/>
              </w:rPr>
              <w:t>，近一年无变化</w:t>
            </w:r>
            <w:r w:rsidR="004125AA" w:rsidRPr="00EF34EE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4125AA" w:rsidRPr="00EF34EE" w:rsidRDefault="004125AA" w:rsidP="00AC5DB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现场看到企业各部门层次基本有相应的管理制度、工作流程，适用的外来文件，工作现场有岗位职责、管理看板、标识牌等方式传递企业文化、工作要求、制度流程等组织内部知识。并通过文件发放、会议传达、专题培训等方式进行内部知识的获得、交流和更新等。</w:t>
            </w:r>
          </w:p>
          <w:p w:rsidR="004125AA" w:rsidRPr="00EF34EE" w:rsidRDefault="004125AA" w:rsidP="00730FF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   组织知识在部门管理基本符合标准要求。</w:t>
            </w:r>
          </w:p>
        </w:tc>
        <w:tc>
          <w:tcPr>
            <w:tcW w:w="760" w:type="dxa"/>
          </w:tcPr>
          <w:p w:rsidR="004125AA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200533" w:rsidRPr="00EF34EE" w:rsidTr="00211DAE">
        <w:trPr>
          <w:trHeight w:val="1184"/>
        </w:trPr>
        <w:tc>
          <w:tcPr>
            <w:tcW w:w="1707" w:type="dxa"/>
            <w:vAlign w:val="center"/>
          </w:tcPr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文件信息、文件控制、记录</w:t>
            </w:r>
          </w:p>
        </w:tc>
        <w:tc>
          <w:tcPr>
            <w:tcW w:w="1019" w:type="dxa"/>
            <w:vAlign w:val="center"/>
          </w:tcPr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>7.5</w:t>
            </w:r>
          </w:p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</w:p>
        </w:tc>
        <w:tc>
          <w:tcPr>
            <w:tcW w:w="11223" w:type="dxa"/>
          </w:tcPr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编制了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文件控制程序YF/CX-2020-07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体系文件生效实施日期为2020年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5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月1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0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查《受控文件清单》，包括管理手册、程序文件，另有公司制定的检验标准、作业指导书等作业文件。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查：《文件、发放回收记录》，抽查文件发放情况，有收文、发文的确认签字，符合文件发放规定。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查：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外来文件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，内容有国家和地方与质量管理体系相关适用法律法规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以及产品执行标准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文件资料基本满足岗位工作需要，并为现行有效版本。</w:t>
            </w:r>
          </w:p>
          <w:p w:rsidR="00200533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查文件的评审及更新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、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作废：</w:t>
            </w:r>
            <w:r w:rsidR="00405795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近一年未发生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文件按需求和公司管理规定发放至有关部门和人员，查有发放记录，符合。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口头提出待改进项目：未对电子文档的安全性管理做出明确规定。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 xml:space="preserve"> ----有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《</w:t>
            </w:r>
            <w:r w:rsidRP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质量记录控制程序</w:t>
            </w:r>
            <w:r w:rsidRPr="001961CC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ab/>
              <w:t>YF/CX-2020-08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，对记录表单的设计、编号、填写、贮存、保管、保护、检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lastRenderedPageBreak/>
              <w:t>索、保存期限、到期处置等方面规定了要求并按此程序控制。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提供《记录清单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》，规定了记录的名称、编号、责任部门、保存期限等内容。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核对标准规定的应保留的记录和保存期限，标准所规定的记录均涵盖，保存期限规定的合理。</w:t>
            </w:r>
          </w:p>
          <w:p w:rsidR="001B35C1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记录清单中对记录的管理、控制进行明确的分工。办公室主要负责归档公司质量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的标识、编目、保管、贮存，负责本程序的归口管理。</w:t>
            </w:r>
          </w:p>
          <w:p w:rsidR="00200533" w:rsidRDefault="001B35C1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查</w:t>
            </w:r>
            <w:r w:rsidR="00200533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培训</w:t>
            </w:r>
            <w:proofErr w:type="gramEnd"/>
            <w:r w:rsidR="00200533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记录、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管理评审计划、</w:t>
            </w:r>
            <w:r w:rsidRPr="001B35C1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销售过程检查记录</w:t>
            </w:r>
            <w:r w:rsidR="00200533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供方评价记录、</w:t>
            </w:r>
            <w:r w:rsidR="00200533" w:rsidRPr="007236BF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法兰成品检验记录</w:t>
            </w:r>
            <w:r w:rsidR="00200533"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能够按照记录控制要求进行管理，记录保存完整，填写清晰、工整。</w:t>
            </w:r>
          </w:p>
          <w:p w:rsidR="00200533" w:rsidRPr="00EF34EE" w:rsidRDefault="00200533" w:rsidP="007E5FFA">
            <w:pPr>
              <w:tabs>
                <w:tab w:val="center" w:pos="3169"/>
              </w:tabs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  <w:lang w:bidi="ar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记录控制符合要求</w:t>
            </w:r>
            <w:r>
              <w:rPr>
                <w:rFonts w:ascii="楷体" w:eastAsia="楷体" w:hAnsi="楷体" w:cs="宋体" w:hint="eastAsia"/>
                <w:sz w:val="24"/>
                <w:szCs w:val="24"/>
                <w:lang w:bidi="ar"/>
              </w:rPr>
              <w:t>。</w:t>
            </w:r>
          </w:p>
        </w:tc>
        <w:tc>
          <w:tcPr>
            <w:tcW w:w="760" w:type="dxa"/>
          </w:tcPr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  <w:tr w:rsidR="00200533" w:rsidRPr="00EF34EE" w:rsidTr="00E567AA">
        <w:trPr>
          <w:trHeight w:val="1184"/>
        </w:trPr>
        <w:tc>
          <w:tcPr>
            <w:tcW w:w="1707" w:type="dxa"/>
            <w:vAlign w:val="center"/>
          </w:tcPr>
          <w:p w:rsidR="00200533" w:rsidRPr="00EF34EE" w:rsidRDefault="00200533" w:rsidP="007E5FFA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监视测量分析总则、分析评价</w:t>
            </w:r>
          </w:p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QMS  9.1.1</w:t>
            </w:r>
          </w:p>
          <w:p w:rsidR="00200533" w:rsidRPr="00EF34EE" w:rsidRDefault="00200533" w:rsidP="007E5FFA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 xml:space="preserve">9.1.3 </w:t>
            </w:r>
          </w:p>
        </w:tc>
        <w:tc>
          <w:tcPr>
            <w:tcW w:w="11223" w:type="dxa"/>
          </w:tcPr>
          <w:p w:rsidR="00200533" w:rsidRPr="00EF34EE" w:rsidRDefault="00200533" w:rsidP="007E5FF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公司规定了管理体系相关信息的收集、汇总、分析、处理、传递的要求，体系要求未变化。</w:t>
            </w:r>
          </w:p>
          <w:p w:rsidR="00200533" w:rsidRPr="00EF34EE" w:rsidRDefault="00200533" w:rsidP="007E5F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200533" w:rsidRPr="00EF34EE" w:rsidRDefault="00200533" w:rsidP="007E5F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200533" w:rsidRPr="00EF34EE" w:rsidRDefault="00200533" w:rsidP="007E5F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供销部负责对供方业绩予以评价，对供方业绩实施了监视和测量；</w:t>
            </w:r>
          </w:p>
          <w:p w:rsidR="00200533" w:rsidRPr="00EF34EE" w:rsidRDefault="00200533" w:rsidP="007E5FF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供销部对顾客满意度进行了定期评价和分析；</w:t>
            </w:r>
          </w:p>
          <w:p w:rsidR="00200533" w:rsidRPr="00EF34EE" w:rsidRDefault="00200533" w:rsidP="007E5FFA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部对生产现场进行监督检查，质检部对采购产品、生产过程及成品按策划要求进行了检验。</w:t>
            </w:r>
          </w:p>
          <w:p w:rsidR="00200533" w:rsidRPr="00EF34EE" w:rsidRDefault="00200533" w:rsidP="007E5F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</w:t>
            </w: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没有保持相关记录。</w:t>
            </w:r>
          </w:p>
          <w:p w:rsidR="00200533" w:rsidRPr="00EF34EE" w:rsidRDefault="00200533" w:rsidP="007E5FF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cs="宋体" w:hint="eastAsia"/>
                <w:sz w:val="24"/>
                <w:szCs w:val="24"/>
              </w:rPr>
              <w:t>公司已建立了信息收集的渠道，并实施，但利用深度须加强，已交流。</w:t>
            </w:r>
          </w:p>
        </w:tc>
        <w:tc>
          <w:tcPr>
            <w:tcW w:w="760" w:type="dxa"/>
          </w:tcPr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200533" w:rsidRPr="00EF34EE">
        <w:trPr>
          <w:trHeight w:val="1184"/>
        </w:trPr>
        <w:tc>
          <w:tcPr>
            <w:tcW w:w="1707" w:type="dxa"/>
            <w:vAlign w:val="center"/>
          </w:tcPr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内审</w:t>
            </w:r>
          </w:p>
        </w:tc>
        <w:tc>
          <w:tcPr>
            <w:tcW w:w="1019" w:type="dxa"/>
            <w:vAlign w:val="center"/>
          </w:tcPr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sz w:val="24"/>
                <w:szCs w:val="24"/>
              </w:rPr>
              <w:t xml:space="preserve"> 9.2</w:t>
            </w:r>
          </w:p>
        </w:tc>
        <w:tc>
          <w:tcPr>
            <w:tcW w:w="11223" w:type="dxa"/>
            <w:vAlign w:val="center"/>
          </w:tcPr>
          <w:p w:rsidR="00200533" w:rsidRPr="00EF34EE" w:rsidRDefault="00200533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公司制定《内部审核控制程序》，对内部审核方案策划规定：内</w:t>
            </w: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审每年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进行一次，按部门/过程审核。</w:t>
            </w:r>
          </w:p>
          <w:p w:rsidR="00200533" w:rsidRDefault="00200533" w:rsidP="00AC4DD9">
            <w:pPr>
              <w:spacing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管代介绍内审的安排和做法，与程序文件“内部审核控制程序”相符。</w:t>
            </w:r>
          </w:p>
          <w:p w:rsidR="00200533" w:rsidRDefault="00200533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proofErr w:type="gramStart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查最近</w:t>
            </w:r>
            <w:proofErr w:type="gramEnd"/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一次内审记录：202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日进行三合一体系内部审核，审核组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成员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：</w:t>
            </w:r>
            <w:r w:rsidR="001736D7" w:rsidRPr="001736D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许红臣、王一翔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，经过培训，并经总经理任命。</w:t>
            </w:r>
          </w:p>
          <w:p w:rsidR="00200533" w:rsidRPr="00EF34EE" w:rsidRDefault="00200533" w:rsidP="00727C22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 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查内审计划，涉及了所有部门及相关过程。计划编制合理，无漏条款现象。</w:t>
            </w:r>
          </w:p>
          <w:p w:rsidR="00200533" w:rsidRPr="00EF34EE" w:rsidRDefault="00200533" w:rsidP="001F7A1A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内审员按照计划安排实施了审核，记录为电子档。审核员没有审核自己部门工作，具有独立性。</w:t>
            </w:r>
          </w:p>
          <w:p w:rsidR="00200533" w:rsidRPr="00EF34EE" w:rsidRDefault="00200533" w:rsidP="00E03C03">
            <w:pPr>
              <w:spacing w:line="360" w:lineRule="auto"/>
              <w:ind w:leftChars="200" w:left="4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审核活动共提出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个不符合项，分别分布在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生产技术部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。涉及条款有Q</w:t>
            </w:r>
            <w:r w:rsidR="00AA034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.</w:t>
            </w:r>
            <w:r w:rsidR="00AA034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条款；查不符合项报告。不符合项报告事实描述清楚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（</w:t>
            </w:r>
            <w:r w:rsidR="00AA0347" w:rsidRPr="00AA0347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未能提供按照培训计划时间要求进行质量意识培训的证据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）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，原因分析到位，纠正措施及其验证合理。不符合项202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年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6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月</w:t>
            </w:r>
            <w:r w:rsidR="005C42EC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</w:t>
            </w:r>
            <w:r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日验证关闭。</w:t>
            </w:r>
          </w:p>
          <w:p w:rsidR="00200533" w:rsidRPr="00EF34EE" w:rsidRDefault="00AA0347" w:rsidP="00EF34E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742AF2" wp14:editId="67A06871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372745</wp:posOffset>
                  </wp:positionV>
                  <wp:extent cx="3168015" cy="1974850"/>
                  <wp:effectExtent l="0" t="0" r="0" b="0"/>
                  <wp:wrapNone/>
                  <wp:docPr id="1" name="图片 1" descr="E:\360安全云盘同步版\国标联合审核\202208\河北源丰管道制造有限公司\新建文件夹\扫描全能王 2022-08-29 14.39_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8\河北源丰管道制造有限公司\新建文件夹\扫描全能王 2022-08-29 14.39_2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5" b="48498"/>
                          <a:stretch/>
                        </pic:blipFill>
                        <pic:spPr bwMode="auto">
                          <a:xfrm>
                            <a:off x="0" y="0"/>
                            <a:ext cx="316801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533" w:rsidRPr="00EF34E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查内审报告：对体系文件和对体系的运作的符合性和有效性进行了评价，结论为：</w:t>
            </w:r>
            <w:r w:rsidR="00200533" w:rsidRPr="00F45DC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本公司质量管理体系符合标准要求，运行有效</w:t>
            </w:r>
            <w:r w:rsidR="00200533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  <w:p w:rsidR="00200533" w:rsidRDefault="00200533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Default="005C42EC" w:rsidP="00AC4DD9">
            <w:pPr>
              <w:pStyle w:val="ab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5C42EC" w:rsidRPr="00EF34EE" w:rsidRDefault="005C42EC" w:rsidP="00AC4DD9">
            <w:pPr>
              <w:pStyle w:val="ab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 w:rsidR="00200533" w:rsidRPr="00EF34EE" w:rsidRDefault="00200533" w:rsidP="00AC4DD9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lastRenderedPageBreak/>
              <w:t>Y</w:t>
            </w:r>
          </w:p>
        </w:tc>
      </w:tr>
      <w:tr w:rsidR="00200533" w:rsidRPr="00EF34EE">
        <w:trPr>
          <w:trHeight w:val="1100"/>
        </w:trPr>
        <w:tc>
          <w:tcPr>
            <w:tcW w:w="1707" w:type="dxa"/>
            <w:vAlign w:val="center"/>
          </w:tcPr>
          <w:p w:rsidR="00200533" w:rsidRPr="002C3918" w:rsidRDefault="00200533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019" w:type="dxa"/>
            <w:vAlign w:val="center"/>
          </w:tcPr>
          <w:p w:rsidR="00200533" w:rsidRPr="002C3918" w:rsidRDefault="00200533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10.2  </w:t>
            </w:r>
          </w:p>
          <w:p w:rsidR="00200533" w:rsidRPr="002C3918" w:rsidRDefault="00200533" w:rsidP="00E4372A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有《</w:t>
            </w:r>
            <w:r w:rsidRPr="000F05D3">
              <w:rPr>
                <w:rFonts w:ascii="楷体" w:eastAsia="楷体" w:hAnsi="楷体" w:cs="楷体" w:hint="eastAsia"/>
                <w:sz w:val="24"/>
                <w:szCs w:val="24"/>
              </w:rPr>
              <w:t>改进控制程序 YF/CX-2020—20</w:t>
            </w: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》，对纠正预防措施识别、评审、验证作了规定，其内容符合组织实际及标准要求。 </w:t>
            </w:r>
          </w:p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查纠正措施实施情况：</w:t>
            </w:r>
          </w:p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对体系运行过程中产生不合格的产生，公司提供纠正措施实施报告。</w:t>
            </w:r>
          </w:p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（参见内审工作单），管理评审中发现的薄弱环节，分析了原因，采取了纠正措施（参见管理评审工作单）。</w:t>
            </w:r>
          </w:p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提高，自体系运行以来，体系运行没有发现潜在的不符合，没有发生重大质量事故和投诉处罚。</w:t>
            </w:r>
          </w:p>
          <w:p w:rsidR="00200533" w:rsidRPr="002C3918" w:rsidRDefault="00200533" w:rsidP="00E4372A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C3918">
              <w:rPr>
                <w:rFonts w:ascii="楷体" w:eastAsia="楷体" w:hAnsi="楷体" w:cs="楷体" w:hint="eastAsia"/>
                <w:sz w:val="24"/>
                <w:szCs w:val="24"/>
              </w:rPr>
              <w:t xml:space="preserve">组织不合格和纠正措施的管理符合标准规定要求。  </w:t>
            </w:r>
          </w:p>
        </w:tc>
        <w:tc>
          <w:tcPr>
            <w:tcW w:w="760" w:type="dxa"/>
          </w:tcPr>
          <w:p w:rsidR="00200533" w:rsidRPr="00EF34EE" w:rsidRDefault="00200533" w:rsidP="00AC5DBA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Y</w:t>
            </w:r>
          </w:p>
        </w:tc>
      </w:tr>
    </w:tbl>
    <w:p w:rsidR="00096AA8" w:rsidRPr="00EF34EE" w:rsidRDefault="005B7EF6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  <w:r w:rsidRPr="00EF34EE">
        <w:rPr>
          <w:rFonts w:ascii="楷体" w:eastAsia="楷体" w:hAnsi="楷体" w:hint="eastAsia"/>
          <w:sz w:val="24"/>
          <w:szCs w:val="24"/>
        </w:rPr>
        <w:t>说明：不符合标注N</w:t>
      </w:r>
    </w:p>
    <w:p w:rsidR="00096AA8" w:rsidRPr="00EF34EE" w:rsidRDefault="00096AA8" w:rsidP="00AC5DBA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</w:p>
    <w:p w:rsidR="00096AA8" w:rsidRPr="00EF34EE" w:rsidRDefault="00096AA8" w:rsidP="00AC5DBA">
      <w:pPr>
        <w:pStyle w:val="a6"/>
        <w:spacing w:line="360" w:lineRule="auto"/>
        <w:rPr>
          <w:rFonts w:ascii="楷体" w:eastAsia="楷体" w:hAnsi="楷体"/>
          <w:sz w:val="24"/>
          <w:szCs w:val="24"/>
        </w:rPr>
      </w:pPr>
    </w:p>
    <w:sectPr w:rsidR="00096AA8" w:rsidRPr="00EF34EE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73" w:rsidRDefault="00C50173">
      <w:r>
        <w:separator/>
      </w:r>
    </w:p>
  </w:endnote>
  <w:endnote w:type="continuationSeparator" w:id="0">
    <w:p w:rsidR="00C50173" w:rsidRDefault="00C5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FD515A" w:rsidRDefault="00FD515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034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034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515A" w:rsidRDefault="00FD51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73" w:rsidRDefault="00C50173">
      <w:r>
        <w:separator/>
      </w:r>
    </w:p>
  </w:footnote>
  <w:footnote w:type="continuationSeparator" w:id="0">
    <w:p w:rsidR="00C50173" w:rsidRDefault="00C5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2" w:rsidRDefault="00CE5762" w:rsidP="00CE5762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83BF1C" wp14:editId="21478D49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17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:rsidR="00CE5762" w:rsidRDefault="00CE5762" w:rsidP="00CE57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5762" w:rsidRDefault="00CE5762" w:rsidP="00CE5762">
    <w:pPr>
      <w:pStyle w:val="a7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FD515A" w:rsidRPr="00CE5762" w:rsidRDefault="00FD515A" w:rsidP="00CE57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D25585"/>
    <w:multiLevelType w:val="singleLevel"/>
    <w:tmpl w:val="87D25585"/>
    <w:lvl w:ilvl="0">
      <w:start w:val="1"/>
      <w:numFmt w:val="decimal"/>
      <w:suff w:val="nothing"/>
      <w:lvlText w:val="%1、"/>
      <w:lvlJc w:val="left"/>
    </w:lvl>
  </w:abstractNum>
  <w:abstractNum w:abstractNumId="1">
    <w:nsid w:val="0C7049FB"/>
    <w:multiLevelType w:val="multilevel"/>
    <w:tmpl w:val="0C7049F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6C1061"/>
    <w:multiLevelType w:val="multilevel"/>
    <w:tmpl w:val="0D6C106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694FE6"/>
    <w:multiLevelType w:val="multilevel"/>
    <w:tmpl w:val="13694FE6"/>
    <w:lvl w:ilvl="0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7B0BDA"/>
    <w:multiLevelType w:val="multilevel"/>
    <w:tmpl w:val="3B7B0BD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B4F"/>
    <w:rsid w:val="00006956"/>
    <w:rsid w:val="00010360"/>
    <w:rsid w:val="0001477B"/>
    <w:rsid w:val="0001741D"/>
    <w:rsid w:val="000237F6"/>
    <w:rsid w:val="00031DF2"/>
    <w:rsid w:val="00033302"/>
    <w:rsid w:val="0003373A"/>
    <w:rsid w:val="00053A70"/>
    <w:rsid w:val="00061867"/>
    <w:rsid w:val="00062A62"/>
    <w:rsid w:val="000656F6"/>
    <w:rsid w:val="00065B4E"/>
    <w:rsid w:val="00066385"/>
    <w:rsid w:val="000676FC"/>
    <w:rsid w:val="00075AE3"/>
    <w:rsid w:val="000845F8"/>
    <w:rsid w:val="00092846"/>
    <w:rsid w:val="00096AA8"/>
    <w:rsid w:val="000A5D61"/>
    <w:rsid w:val="000B60EE"/>
    <w:rsid w:val="000D505E"/>
    <w:rsid w:val="000F15AD"/>
    <w:rsid w:val="000F2956"/>
    <w:rsid w:val="000F5AF2"/>
    <w:rsid w:val="00102E7B"/>
    <w:rsid w:val="0011571A"/>
    <w:rsid w:val="00131331"/>
    <w:rsid w:val="00146208"/>
    <w:rsid w:val="00147A8C"/>
    <w:rsid w:val="00151CAB"/>
    <w:rsid w:val="00172C5F"/>
    <w:rsid w:val="001736D7"/>
    <w:rsid w:val="00184EF5"/>
    <w:rsid w:val="00185AA7"/>
    <w:rsid w:val="001961CC"/>
    <w:rsid w:val="001A0B6A"/>
    <w:rsid w:val="001A2D7F"/>
    <w:rsid w:val="001B35C1"/>
    <w:rsid w:val="001B3873"/>
    <w:rsid w:val="001B51C0"/>
    <w:rsid w:val="001B558B"/>
    <w:rsid w:val="001C5606"/>
    <w:rsid w:val="001C60D1"/>
    <w:rsid w:val="001D3B04"/>
    <w:rsid w:val="001D6553"/>
    <w:rsid w:val="001E2898"/>
    <w:rsid w:val="001E40B4"/>
    <w:rsid w:val="001F14DA"/>
    <w:rsid w:val="001F7A1A"/>
    <w:rsid w:val="00200533"/>
    <w:rsid w:val="00213FC8"/>
    <w:rsid w:val="0022206E"/>
    <w:rsid w:val="002227A6"/>
    <w:rsid w:val="00225E84"/>
    <w:rsid w:val="0023321E"/>
    <w:rsid w:val="00237C34"/>
    <w:rsid w:val="002416BE"/>
    <w:rsid w:val="00260033"/>
    <w:rsid w:val="00264C59"/>
    <w:rsid w:val="0026634F"/>
    <w:rsid w:val="0027023E"/>
    <w:rsid w:val="00270B5E"/>
    <w:rsid w:val="002725ED"/>
    <w:rsid w:val="002A6132"/>
    <w:rsid w:val="002B0251"/>
    <w:rsid w:val="002B23FA"/>
    <w:rsid w:val="002B4B63"/>
    <w:rsid w:val="002B5F02"/>
    <w:rsid w:val="002C38F0"/>
    <w:rsid w:val="002C4B12"/>
    <w:rsid w:val="002D4025"/>
    <w:rsid w:val="002D42FC"/>
    <w:rsid w:val="002D49AD"/>
    <w:rsid w:val="002D5EC7"/>
    <w:rsid w:val="002E0617"/>
    <w:rsid w:val="002E15E3"/>
    <w:rsid w:val="00300CFD"/>
    <w:rsid w:val="0030757E"/>
    <w:rsid w:val="00310DD6"/>
    <w:rsid w:val="003338FE"/>
    <w:rsid w:val="00334858"/>
    <w:rsid w:val="00337922"/>
    <w:rsid w:val="00340867"/>
    <w:rsid w:val="0034590A"/>
    <w:rsid w:val="00346DEA"/>
    <w:rsid w:val="00380837"/>
    <w:rsid w:val="0038169D"/>
    <w:rsid w:val="00383CE6"/>
    <w:rsid w:val="003A198A"/>
    <w:rsid w:val="003D01EA"/>
    <w:rsid w:val="003D1A21"/>
    <w:rsid w:val="003D74E5"/>
    <w:rsid w:val="003F14C0"/>
    <w:rsid w:val="003F1922"/>
    <w:rsid w:val="003F78BC"/>
    <w:rsid w:val="00405795"/>
    <w:rsid w:val="00410914"/>
    <w:rsid w:val="0041252E"/>
    <w:rsid w:val="004125AA"/>
    <w:rsid w:val="0042049A"/>
    <w:rsid w:val="004213C6"/>
    <w:rsid w:val="00427BF9"/>
    <w:rsid w:val="00432535"/>
    <w:rsid w:val="00432A59"/>
    <w:rsid w:val="004379FF"/>
    <w:rsid w:val="00440288"/>
    <w:rsid w:val="00440298"/>
    <w:rsid w:val="00462628"/>
    <w:rsid w:val="00465B61"/>
    <w:rsid w:val="00466E7F"/>
    <w:rsid w:val="00467AAE"/>
    <w:rsid w:val="00475D30"/>
    <w:rsid w:val="0049319D"/>
    <w:rsid w:val="004B4CD9"/>
    <w:rsid w:val="004B7C41"/>
    <w:rsid w:val="004E2DF3"/>
    <w:rsid w:val="004E34D6"/>
    <w:rsid w:val="004E6C5F"/>
    <w:rsid w:val="004F0EC9"/>
    <w:rsid w:val="004F4861"/>
    <w:rsid w:val="00521986"/>
    <w:rsid w:val="00535111"/>
    <w:rsid w:val="00536930"/>
    <w:rsid w:val="00555331"/>
    <w:rsid w:val="005622F4"/>
    <w:rsid w:val="005644C1"/>
    <w:rsid w:val="00564E53"/>
    <w:rsid w:val="00573464"/>
    <w:rsid w:val="00576427"/>
    <w:rsid w:val="00592CE1"/>
    <w:rsid w:val="005A1040"/>
    <w:rsid w:val="005B4ECA"/>
    <w:rsid w:val="005B7EF6"/>
    <w:rsid w:val="005C0FB0"/>
    <w:rsid w:val="005C3871"/>
    <w:rsid w:val="005C3A0F"/>
    <w:rsid w:val="005C42EC"/>
    <w:rsid w:val="005D476C"/>
    <w:rsid w:val="005E1039"/>
    <w:rsid w:val="00610BFD"/>
    <w:rsid w:val="00612A96"/>
    <w:rsid w:val="00622E63"/>
    <w:rsid w:val="00627628"/>
    <w:rsid w:val="00634FEE"/>
    <w:rsid w:val="00640B9A"/>
    <w:rsid w:val="00644FE2"/>
    <w:rsid w:val="00652698"/>
    <w:rsid w:val="00653EB5"/>
    <w:rsid w:val="0066729D"/>
    <w:rsid w:val="0067628E"/>
    <w:rsid w:val="0067640C"/>
    <w:rsid w:val="006867FD"/>
    <w:rsid w:val="00694ABF"/>
    <w:rsid w:val="006C63E2"/>
    <w:rsid w:val="006C66DF"/>
    <w:rsid w:val="006E678B"/>
    <w:rsid w:val="00714B5D"/>
    <w:rsid w:val="00720B9E"/>
    <w:rsid w:val="00723613"/>
    <w:rsid w:val="007236BF"/>
    <w:rsid w:val="00724380"/>
    <w:rsid w:val="00727C22"/>
    <w:rsid w:val="00730FFB"/>
    <w:rsid w:val="007327E1"/>
    <w:rsid w:val="007525DB"/>
    <w:rsid w:val="0076186C"/>
    <w:rsid w:val="00765F18"/>
    <w:rsid w:val="00773211"/>
    <w:rsid w:val="00773ED3"/>
    <w:rsid w:val="007757F3"/>
    <w:rsid w:val="007849D2"/>
    <w:rsid w:val="00787F99"/>
    <w:rsid w:val="007A6BB6"/>
    <w:rsid w:val="007B1755"/>
    <w:rsid w:val="007C29C3"/>
    <w:rsid w:val="007C52DC"/>
    <w:rsid w:val="007D3342"/>
    <w:rsid w:val="007D64A3"/>
    <w:rsid w:val="007E6758"/>
    <w:rsid w:val="007E6AEB"/>
    <w:rsid w:val="007E7864"/>
    <w:rsid w:val="007E7FA6"/>
    <w:rsid w:val="00811319"/>
    <w:rsid w:val="00811FCD"/>
    <w:rsid w:val="0082633E"/>
    <w:rsid w:val="008278FA"/>
    <w:rsid w:val="00827948"/>
    <w:rsid w:val="00830983"/>
    <w:rsid w:val="00832360"/>
    <w:rsid w:val="00836EE4"/>
    <w:rsid w:val="008508E0"/>
    <w:rsid w:val="008631EF"/>
    <w:rsid w:val="00864944"/>
    <w:rsid w:val="00865226"/>
    <w:rsid w:val="008835C1"/>
    <w:rsid w:val="00894451"/>
    <w:rsid w:val="008962DA"/>
    <w:rsid w:val="008973EE"/>
    <w:rsid w:val="008B31EA"/>
    <w:rsid w:val="008C66A2"/>
    <w:rsid w:val="00905A3B"/>
    <w:rsid w:val="00930263"/>
    <w:rsid w:val="0093213C"/>
    <w:rsid w:val="0093454F"/>
    <w:rsid w:val="009346E9"/>
    <w:rsid w:val="00936D35"/>
    <w:rsid w:val="00940AB8"/>
    <w:rsid w:val="00945AB2"/>
    <w:rsid w:val="00971600"/>
    <w:rsid w:val="0097363F"/>
    <w:rsid w:val="00976A8C"/>
    <w:rsid w:val="00981BF7"/>
    <w:rsid w:val="009823C0"/>
    <w:rsid w:val="009878CE"/>
    <w:rsid w:val="009902A5"/>
    <w:rsid w:val="00996D57"/>
    <w:rsid w:val="009973B4"/>
    <w:rsid w:val="009A75B8"/>
    <w:rsid w:val="009B3DEF"/>
    <w:rsid w:val="009C28C1"/>
    <w:rsid w:val="009D0A2D"/>
    <w:rsid w:val="009E610D"/>
    <w:rsid w:val="009F7EED"/>
    <w:rsid w:val="00A022A6"/>
    <w:rsid w:val="00A06C8D"/>
    <w:rsid w:val="00A250F4"/>
    <w:rsid w:val="00A45A1C"/>
    <w:rsid w:val="00A47F4E"/>
    <w:rsid w:val="00A50410"/>
    <w:rsid w:val="00A55E2D"/>
    <w:rsid w:val="00A60E5B"/>
    <w:rsid w:val="00A60F06"/>
    <w:rsid w:val="00A70948"/>
    <w:rsid w:val="00A7798D"/>
    <w:rsid w:val="00A8492E"/>
    <w:rsid w:val="00A9209A"/>
    <w:rsid w:val="00A95E27"/>
    <w:rsid w:val="00AA0347"/>
    <w:rsid w:val="00AB3108"/>
    <w:rsid w:val="00AB48CD"/>
    <w:rsid w:val="00AC27EA"/>
    <w:rsid w:val="00AC5DBA"/>
    <w:rsid w:val="00AE1D06"/>
    <w:rsid w:val="00AE2B50"/>
    <w:rsid w:val="00AF0AAB"/>
    <w:rsid w:val="00AF7A96"/>
    <w:rsid w:val="00B103FA"/>
    <w:rsid w:val="00B1517F"/>
    <w:rsid w:val="00B25D5C"/>
    <w:rsid w:val="00B40137"/>
    <w:rsid w:val="00B423E1"/>
    <w:rsid w:val="00B466BE"/>
    <w:rsid w:val="00B60917"/>
    <w:rsid w:val="00B66EE0"/>
    <w:rsid w:val="00B92262"/>
    <w:rsid w:val="00B9668A"/>
    <w:rsid w:val="00BB05BF"/>
    <w:rsid w:val="00BB738E"/>
    <w:rsid w:val="00BD04DE"/>
    <w:rsid w:val="00BF0D08"/>
    <w:rsid w:val="00BF5663"/>
    <w:rsid w:val="00BF597E"/>
    <w:rsid w:val="00C02311"/>
    <w:rsid w:val="00C042EE"/>
    <w:rsid w:val="00C05A33"/>
    <w:rsid w:val="00C14FAB"/>
    <w:rsid w:val="00C15924"/>
    <w:rsid w:val="00C15B1A"/>
    <w:rsid w:val="00C1611D"/>
    <w:rsid w:val="00C22DC2"/>
    <w:rsid w:val="00C24418"/>
    <w:rsid w:val="00C26AB5"/>
    <w:rsid w:val="00C321BA"/>
    <w:rsid w:val="00C3307C"/>
    <w:rsid w:val="00C35F7B"/>
    <w:rsid w:val="00C369E1"/>
    <w:rsid w:val="00C45C9F"/>
    <w:rsid w:val="00C50173"/>
    <w:rsid w:val="00C51A36"/>
    <w:rsid w:val="00C55228"/>
    <w:rsid w:val="00C67B8F"/>
    <w:rsid w:val="00C67E60"/>
    <w:rsid w:val="00C736E8"/>
    <w:rsid w:val="00C868C5"/>
    <w:rsid w:val="00C92177"/>
    <w:rsid w:val="00C930EA"/>
    <w:rsid w:val="00C94DCA"/>
    <w:rsid w:val="00CE315A"/>
    <w:rsid w:val="00CE37BF"/>
    <w:rsid w:val="00CE5762"/>
    <w:rsid w:val="00D06F59"/>
    <w:rsid w:val="00D1428A"/>
    <w:rsid w:val="00D34B74"/>
    <w:rsid w:val="00D445C0"/>
    <w:rsid w:val="00D526DC"/>
    <w:rsid w:val="00D532A2"/>
    <w:rsid w:val="00D55C3F"/>
    <w:rsid w:val="00D8388C"/>
    <w:rsid w:val="00DC16CC"/>
    <w:rsid w:val="00DC4FEC"/>
    <w:rsid w:val="00DD1166"/>
    <w:rsid w:val="00DE28A9"/>
    <w:rsid w:val="00DF46EA"/>
    <w:rsid w:val="00E00346"/>
    <w:rsid w:val="00E03C03"/>
    <w:rsid w:val="00E24419"/>
    <w:rsid w:val="00E25B46"/>
    <w:rsid w:val="00E3051A"/>
    <w:rsid w:val="00E36648"/>
    <w:rsid w:val="00E44886"/>
    <w:rsid w:val="00E526D4"/>
    <w:rsid w:val="00E63E1D"/>
    <w:rsid w:val="00E675DC"/>
    <w:rsid w:val="00E81A56"/>
    <w:rsid w:val="00E823AF"/>
    <w:rsid w:val="00E91B7E"/>
    <w:rsid w:val="00E95A70"/>
    <w:rsid w:val="00EA1BC8"/>
    <w:rsid w:val="00EA2D26"/>
    <w:rsid w:val="00EB0164"/>
    <w:rsid w:val="00EB4D5A"/>
    <w:rsid w:val="00EC3D02"/>
    <w:rsid w:val="00EC7796"/>
    <w:rsid w:val="00ED0F62"/>
    <w:rsid w:val="00EF0257"/>
    <w:rsid w:val="00EF13DF"/>
    <w:rsid w:val="00EF2644"/>
    <w:rsid w:val="00EF34EE"/>
    <w:rsid w:val="00EF7B7F"/>
    <w:rsid w:val="00F01062"/>
    <w:rsid w:val="00F1701B"/>
    <w:rsid w:val="00F33186"/>
    <w:rsid w:val="00F45DC0"/>
    <w:rsid w:val="00F523AF"/>
    <w:rsid w:val="00F61AF4"/>
    <w:rsid w:val="00F66C00"/>
    <w:rsid w:val="00F6701D"/>
    <w:rsid w:val="00F673A0"/>
    <w:rsid w:val="00F91E35"/>
    <w:rsid w:val="00F9329F"/>
    <w:rsid w:val="00FA0432"/>
    <w:rsid w:val="00FA37FE"/>
    <w:rsid w:val="00FA76FF"/>
    <w:rsid w:val="00FC329E"/>
    <w:rsid w:val="00FC6F92"/>
    <w:rsid w:val="00FD515A"/>
    <w:rsid w:val="00FE2041"/>
    <w:rsid w:val="00FF24CF"/>
    <w:rsid w:val="00FF3F12"/>
    <w:rsid w:val="00FF7F55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B9077E0"/>
    <w:rsid w:val="2C703113"/>
    <w:rsid w:val="2CF30AC4"/>
    <w:rsid w:val="2D9327E0"/>
    <w:rsid w:val="2E00760C"/>
    <w:rsid w:val="2EE93C61"/>
    <w:rsid w:val="2FEB299B"/>
    <w:rsid w:val="32691255"/>
    <w:rsid w:val="32C11AD5"/>
    <w:rsid w:val="33FC18FA"/>
    <w:rsid w:val="34041CDB"/>
    <w:rsid w:val="3438524B"/>
    <w:rsid w:val="347A7706"/>
    <w:rsid w:val="34B32935"/>
    <w:rsid w:val="375F34D7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DBE2B22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CBD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A709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unhideWhenUsed/>
    <w:qFormat/>
    <w:rPr>
      <w:rFonts w:ascii="宋体" w:hAnsi="Courier New"/>
    </w:r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fontstyle01">
    <w:name w:val="fontstyle01"/>
    <w:basedOn w:val="a0"/>
    <w:rsid w:val="0093213C"/>
    <w:rPr>
      <w:rFonts w:ascii="MicrosoftYaHei" w:hAnsi="MicrosoftYaHei" w:hint="default"/>
      <w:b w:val="0"/>
      <w:bCs w:val="0"/>
      <w:i w:val="0"/>
      <w:iCs w:val="0"/>
      <w:color w:val="000000"/>
      <w:sz w:val="32"/>
      <w:szCs w:val="32"/>
    </w:rPr>
  </w:style>
  <w:style w:type="paragraph" w:styleId="a9">
    <w:name w:val="List Paragraph"/>
    <w:basedOn w:val="a"/>
    <w:uiPriority w:val="99"/>
    <w:unhideWhenUsed/>
    <w:rsid w:val="00D526DC"/>
    <w:pPr>
      <w:ind w:firstLineChars="200" w:firstLine="420"/>
    </w:pPr>
  </w:style>
  <w:style w:type="table" w:styleId="aa">
    <w:name w:val="Table Grid"/>
    <w:basedOn w:val="a1"/>
    <w:uiPriority w:val="59"/>
    <w:qFormat/>
    <w:rsid w:val="00F6701D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A7094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b">
    <w:name w:val="Normal Indent"/>
    <w:basedOn w:val="a"/>
    <w:qFormat/>
    <w:rsid w:val="00A70948"/>
    <w:pPr>
      <w:adjustRightInd w:val="0"/>
      <w:spacing w:line="360" w:lineRule="atLeast"/>
      <w:ind w:left="48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354</cp:revision>
  <dcterms:created xsi:type="dcterms:W3CDTF">2015-06-17T12:51:00Z</dcterms:created>
  <dcterms:modified xsi:type="dcterms:W3CDTF">2022-09-27T12:32:00Z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